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49705" w14:textId="77777777" w:rsidR="00A34EDD" w:rsidRDefault="00C75AA3">
      <w:pPr>
        <w:widowControl w:val="0"/>
        <w:pBdr>
          <w:top w:val="nil"/>
          <w:left w:val="nil"/>
          <w:bottom w:val="nil"/>
          <w:right w:val="nil"/>
          <w:between w:val="nil"/>
        </w:pBdr>
        <w:spacing w:line="240" w:lineRule="auto"/>
        <w:jc w:val="center"/>
        <w:rPr>
          <w:color w:val="000000"/>
          <w:sz w:val="28"/>
          <w:szCs w:val="28"/>
        </w:rPr>
      </w:pPr>
      <w:r>
        <w:rPr>
          <w:color w:val="000000"/>
          <w:sz w:val="28"/>
          <w:szCs w:val="28"/>
        </w:rPr>
        <w:t xml:space="preserve">SCUOLA DI SCIENZE  </w:t>
      </w:r>
    </w:p>
    <w:p w14:paraId="530292ED" w14:textId="224AD84C" w:rsidR="00A34EDD" w:rsidRDefault="00C75AA3">
      <w:pPr>
        <w:widowControl w:val="0"/>
        <w:pBdr>
          <w:top w:val="nil"/>
          <w:left w:val="nil"/>
          <w:bottom w:val="nil"/>
          <w:right w:val="nil"/>
          <w:between w:val="nil"/>
        </w:pBdr>
        <w:spacing w:before="267" w:line="240" w:lineRule="auto"/>
        <w:jc w:val="center"/>
        <w:rPr>
          <w:color w:val="000000"/>
          <w:sz w:val="28"/>
          <w:szCs w:val="28"/>
        </w:rPr>
      </w:pPr>
      <w:r>
        <w:rPr>
          <w:color w:val="000000"/>
          <w:sz w:val="28"/>
          <w:szCs w:val="28"/>
        </w:rPr>
        <w:t>Regolamento per la selezione delle domande ERASMUS (</w:t>
      </w:r>
      <w:r w:rsidRPr="009F3DE8">
        <w:rPr>
          <w:b/>
          <w:bCs/>
          <w:color w:val="000000"/>
          <w:sz w:val="28"/>
          <w:szCs w:val="28"/>
        </w:rPr>
        <w:t>giugno 202</w:t>
      </w:r>
      <w:r w:rsidR="00A762D6" w:rsidRPr="009F3DE8">
        <w:rPr>
          <w:b/>
          <w:bCs/>
          <w:color w:val="000000"/>
          <w:sz w:val="28"/>
          <w:szCs w:val="28"/>
        </w:rPr>
        <w:t>5</w:t>
      </w:r>
      <w:r>
        <w:rPr>
          <w:color w:val="000000"/>
          <w:sz w:val="28"/>
          <w:szCs w:val="28"/>
        </w:rPr>
        <w:t xml:space="preserve">)  </w:t>
      </w:r>
    </w:p>
    <w:p w14:paraId="24CB6E75" w14:textId="77777777" w:rsidR="00A34EDD" w:rsidRDefault="00C75AA3">
      <w:pPr>
        <w:widowControl w:val="0"/>
        <w:pBdr>
          <w:top w:val="nil"/>
          <w:left w:val="nil"/>
          <w:bottom w:val="nil"/>
          <w:right w:val="nil"/>
          <w:between w:val="nil"/>
        </w:pBdr>
        <w:spacing w:before="262" w:line="279" w:lineRule="auto"/>
        <w:ind w:left="118" w:right="23"/>
        <w:jc w:val="both"/>
        <w:rPr>
          <w:color w:val="000000"/>
        </w:rPr>
      </w:pPr>
      <w:r>
        <w:rPr>
          <w:color w:val="000000"/>
        </w:rPr>
        <w:t>Ciascuno studente potrà indicare nella domanda fino a due destinazioni. Ogni corso di studio o insieme di corsi di studio istituirà una Commissione per la selezione delle domande rivolte ai flussi Erasmus collegati a quel corso di studio o insieme di corsi</w:t>
      </w:r>
      <w:r>
        <w:rPr>
          <w:color w:val="000000"/>
        </w:rPr>
        <w:t xml:space="preserve"> di studio.  </w:t>
      </w:r>
    </w:p>
    <w:p w14:paraId="2B59489C" w14:textId="77777777" w:rsidR="00A34EDD" w:rsidRDefault="00C75AA3">
      <w:pPr>
        <w:widowControl w:val="0"/>
        <w:pBdr>
          <w:top w:val="nil"/>
          <w:left w:val="nil"/>
          <w:bottom w:val="nil"/>
          <w:right w:val="nil"/>
          <w:between w:val="nil"/>
        </w:pBdr>
        <w:spacing w:before="251" w:line="280" w:lineRule="auto"/>
        <w:ind w:left="119" w:right="112" w:firstLine="6"/>
        <w:jc w:val="both"/>
        <w:rPr>
          <w:color w:val="000000"/>
        </w:rPr>
      </w:pPr>
      <w:r>
        <w:rPr>
          <w:color w:val="000000"/>
        </w:rPr>
        <w:t xml:space="preserve">La Commissione valuterà i candidati sulla base del curriculum presentato e, qualora lo ritenga utile, potrà anche richiedere di incontrare i candidati, per valutare, per esempio, gli aspetti motivazionali, di lingua o altro.  </w:t>
      </w:r>
    </w:p>
    <w:p w14:paraId="1B4354CD" w14:textId="77777777" w:rsidR="00A34EDD" w:rsidRDefault="00C75AA3">
      <w:pPr>
        <w:widowControl w:val="0"/>
        <w:pBdr>
          <w:top w:val="nil"/>
          <w:left w:val="nil"/>
          <w:bottom w:val="nil"/>
          <w:right w:val="nil"/>
          <w:between w:val="nil"/>
        </w:pBdr>
        <w:spacing w:before="252" w:line="279" w:lineRule="auto"/>
        <w:ind w:left="118" w:right="110" w:hanging="7"/>
        <w:jc w:val="both"/>
        <w:rPr>
          <w:color w:val="000000"/>
        </w:rPr>
      </w:pPr>
      <w:r>
        <w:rPr>
          <w:color w:val="000000"/>
        </w:rPr>
        <w:t>A partire dalle informazioni riportate nella domanda, la Commissione attribuirà a ciascun candidato un voto, seguendo gli elementi di valutazione descritti nel seguito (Sezione 1). I lavori della Commissione termineranno presentando un elenco ordinato di i</w:t>
      </w:r>
      <w:r>
        <w:rPr>
          <w:color w:val="000000"/>
        </w:rPr>
        <w:t>donei per ciascuna destinazione richiesta. Nel caso un candidato sia dichiarato idoneo per una destinazione e la sua posizione nella lista degli idonei sia entro il numero di borse disponibili per la destinazione, il candidato verrà considerato vincitore e</w:t>
      </w:r>
      <w:r>
        <w:rPr>
          <w:color w:val="000000"/>
        </w:rPr>
        <w:t xml:space="preserve"> verrà stralciato da liste di idoneità per altre sedi. Qualora risulti vincitore per entrambe le scelte, verrà dichiarato vincitore per la prima scelta. </w:t>
      </w:r>
    </w:p>
    <w:p w14:paraId="011904EF" w14:textId="77777777" w:rsidR="00A34EDD" w:rsidRDefault="00C75AA3">
      <w:pPr>
        <w:widowControl w:val="0"/>
        <w:pBdr>
          <w:top w:val="nil"/>
          <w:left w:val="nil"/>
          <w:bottom w:val="nil"/>
          <w:right w:val="nil"/>
          <w:between w:val="nil"/>
        </w:pBdr>
        <w:spacing w:before="214" w:line="240" w:lineRule="auto"/>
        <w:ind w:left="124"/>
        <w:rPr>
          <w:color w:val="000000"/>
        </w:rPr>
      </w:pPr>
      <w:r>
        <w:rPr>
          <w:color w:val="000000"/>
        </w:rPr>
        <w:t xml:space="preserve">Domande “fuori area”  </w:t>
      </w:r>
    </w:p>
    <w:p w14:paraId="37DEEABD" w14:textId="77777777" w:rsidR="00A34EDD" w:rsidRDefault="00C75AA3">
      <w:pPr>
        <w:widowControl w:val="0"/>
        <w:pBdr>
          <w:top w:val="nil"/>
          <w:left w:val="nil"/>
          <w:bottom w:val="nil"/>
          <w:right w:val="nil"/>
          <w:between w:val="nil"/>
        </w:pBdr>
        <w:spacing w:before="248" w:line="279" w:lineRule="auto"/>
        <w:ind w:left="116" w:right="82" w:hanging="1"/>
        <w:jc w:val="both"/>
        <w:rPr>
          <w:color w:val="000000"/>
        </w:rPr>
      </w:pPr>
      <w:r>
        <w:rPr>
          <w:color w:val="000000"/>
        </w:rPr>
        <w:t xml:space="preserve">È possibile che uno studente intenda presentare una domanda per un flusso non collegato al suo corso di studio. In questo caso, deve contattare il docente responsabile del flusso in questione per accertarsi </w:t>
      </w:r>
      <w:proofErr w:type="gramStart"/>
      <w:r>
        <w:rPr>
          <w:color w:val="000000"/>
        </w:rPr>
        <w:t>se  l'università</w:t>
      </w:r>
      <w:proofErr w:type="gramEnd"/>
      <w:r>
        <w:rPr>
          <w:color w:val="000000"/>
        </w:rPr>
        <w:t xml:space="preserve"> estera sia disposta ad accettare</w:t>
      </w:r>
      <w:r>
        <w:rPr>
          <w:color w:val="000000"/>
        </w:rPr>
        <w:t xml:space="preserve"> domande “fuori area”. Ovviamente, in caso la risposta </w:t>
      </w:r>
      <w:proofErr w:type="gramStart"/>
      <w:r>
        <w:rPr>
          <w:color w:val="000000"/>
        </w:rPr>
        <w:t>sia  negativa</w:t>
      </w:r>
      <w:proofErr w:type="gramEnd"/>
      <w:r>
        <w:rPr>
          <w:color w:val="000000"/>
        </w:rPr>
        <w:t>, sarà inutile procedere. Se invece la risposta fosse positiva, la domanda potrebbe venire valutata dalla Commissione competente solo nel caso in cui un docente responsabile Erasmus del co</w:t>
      </w:r>
      <w:r>
        <w:rPr>
          <w:color w:val="000000"/>
        </w:rPr>
        <w:t>rso di studio dello studente esprima giudizio positivo in merito al piano delle attività da fare all'estero proposte La domanda potrà, inoltre, essere accettata solo dopo aver soddisfatto tutte le domande presentate per il flusso in questione da studenti d</w:t>
      </w:r>
      <w:r>
        <w:rPr>
          <w:color w:val="000000"/>
        </w:rPr>
        <w:t xml:space="preserve">ell’area di appartenenza dello stesso e dichiarati idonei.  </w:t>
      </w:r>
    </w:p>
    <w:p w14:paraId="7DE02B0D" w14:textId="77777777" w:rsidR="00A34EDD" w:rsidRDefault="00C75AA3">
      <w:pPr>
        <w:widowControl w:val="0"/>
        <w:pBdr>
          <w:top w:val="nil"/>
          <w:left w:val="nil"/>
          <w:bottom w:val="nil"/>
          <w:right w:val="nil"/>
          <w:between w:val="nil"/>
        </w:pBdr>
        <w:spacing w:before="212" w:line="279" w:lineRule="auto"/>
        <w:ind w:left="119" w:right="108" w:firstLine="8"/>
        <w:jc w:val="both"/>
        <w:rPr>
          <w:color w:val="000000"/>
        </w:rPr>
      </w:pPr>
      <w:r>
        <w:rPr>
          <w:color w:val="000000"/>
        </w:rPr>
        <w:t xml:space="preserve">Le domande “fuori area” verranno valutate dalla Commissione seguendo gli elementi descritti nel </w:t>
      </w:r>
      <w:proofErr w:type="gramStart"/>
      <w:r>
        <w:rPr>
          <w:color w:val="000000"/>
        </w:rPr>
        <w:t>seguito  (</w:t>
      </w:r>
      <w:proofErr w:type="gramEnd"/>
      <w:r>
        <w:rPr>
          <w:color w:val="000000"/>
        </w:rPr>
        <w:t>Sezione 1). Visto che in questo caso lo studente potrebbe venire esaminato da due Commiss</w:t>
      </w:r>
      <w:r>
        <w:rPr>
          <w:color w:val="000000"/>
        </w:rPr>
        <w:t xml:space="preserve">ioni diverse, potrebbe venire dichiarato vincitore da entrambe le Commissioni, oppure solo idoneo da una e vincitore dall'altra. Nel primo caso verrebbe considerato vincitore per la prima scelta.  </w:t>
      </w:r>
    </w:p>
    <w:p w14:paraId="1BE08796" w14:textId="77777777" w:rsidR="00A34EDD" w:rsidRDefault="00C75AA3">
      <w:pPr>
        <w:widowControl w:val="0"/>
        <w:pBdr>
          <w:top w:val="nil"/>
          <w:left w:val="nil"/>
          <w:bottom w:val="nil"/>
          <w:right w:val="nil"/>
          <w:between w:val="nil"/>
        </w:pBdr>
        <w:spacing w:before="555" w:line="240" w:lineRule="auto"/>
        <w:ind w:left="123"/>
        <w:rPr>
          <w:color w:val="000000"/>
        </w:rPr>
      </w:pPr>
      <w:r>
        <w:rPr>
          <w:color w:val="000000"/>
          <w:sz w:val="20"/>
          <w:szCs w:val="20"/>
          <w:u w:val="single"/>
        </w:rPr>
        <w:t xml:space="preserve">1. </w:t>
      </w:r>
      <w:r>
        <w:rPr>
          <w:color w:val="000000"/>
          <w:u w:val="single"/>
        </w:rPr>
        <w:t xml:space="preserve">Elementi di valutazione: </w:t>
      </w:r>
      <w:r>
        <w:rPr>
          <w:color w:val="000000"/>
        </w:rPr>
        <w:t xml:space="preserve"> </w:t>
      </w:r>
    </w:p>
    <w:p w14:paraId="0FBE54B2" w14:textId="6BF315CD" w:rsidR="00A34EDD" w:rsidRDefault="00C75AA3">
      <w:pPr>
        <w:widowControl w:val="0"/>
        <w:pBdr>
          <w:top w:val="nil"/>
          <w:left w:val="nil"/>
          <w:bottom w:val="nil"/>
          <w:right w:val="nil"/>
          <w:between w:val="nil"/>
        </w:pBdr>
        <w:spacing w:before="251" w:line="279" w:lineRule="auto"/>
        <w:ind w:left="118" w:right="130" w:hanging="7"/>
        <w:jc w:val="both"/>
        <w:rPr>
          <w:color w:val="000000"/>
        </w:rPr>
        <w:sectPr w:rsidR="00A34EDD">
          <w:pgSz w:w="11900" w:h="16820"/>
          <w:pgMar w:top="1367" w:right="959" w:bottom="568" w:left="1023" w:header="0" w:footer="720" w:gutter="0"/>
          <w:pgNumType w:start="1"/>
          <w:cols w:space="720"/>
        </w:sectPr>
      </w:pPr>
      <w:r>
        <w:rPr>
          <w:color w:val="000000"/>
          <w:u w:val="single"/>
        </w:rPr>
        <w:t>Votazioni riportate negli esami</w:t>
      </w:r>
      <w:r>
        <w:rPr>
          <w:color w:val="000000"/>
        </w:rPr>
        <w:t>: il valor medio dei voti riportati negli esami si determina tramite media pesata con i CFU di ciascun esame. In caso di studenti della laurea magistrale (LM), il voto medio si determina considerando il voto di laurea trienna</w:t>
      </w:r>
      <w:r>
        <w:rPr>
          <w:color w:val="000000"/>
        </w:rPr>
        <w:t xml:space="preserve">le (espresso in trentesimi) pesato per 180 CFU e quello degli esami della LM pesati opportunamente con i CFU. </w:t>
      </w:r>
      <w:r w:rsidRPr="00C75AA3">
        <w:rPr>
          <w:color w:val="000000"/>
        </w:rPr>
        <w:t xml:space="preserve">In caso di laurea conseguita all'estero, </w:t>
      </w:r>
      <w:r w:rsidRPr="00C75AA3">
        <w:rPr>
          <w:color w:val="000000"/>
        </w:rPr>
        <w:t xml:space="preserve">in sostituzione al titolo triennale estero non più </w:t>
      </w:r>
      <w:proofErr w:type="spellStart"/>
      <w:r w:rsidRPr="00C75AA3">
        <w:rPr>
          <w:color w:val="000000"/>
        </w:rPr>
        <w:t>disponibile</w:t>
      </w:r>
      <w:r w:rsidRPr="00C75AA3">
        <w:rPr>
          <w:color w:val="222222"/>
          <w:shd w:val="clear" w:color="auto" w:fill="FFFFFF"/>
        </w:rPr>
        <w:t>.</w:t>
      </w:r>
      <w:r w:rsidRPr="00C75AA3">
        <w:rPr>
          <w:color w:val="000000"/>
        </w:rPr>
        <w:t>per</w:t>
      </w:r>
      <w:proofErr w:type="spellEnd"/>
      <w:r w:rsidRPr="00C75AA3">
        <w:rPr>
          <w:color w:val="000000"/>
        </w:rPr>
        <w:t xml:space="preserve"> equiparare gli studenti internazionali agli studenti italiani</w:t>
      </w:r>
      <w:r w:rsidR="00A762D6" w:rsidRPr="00C75AA3">
        <w:rPr>
          <w:color w:val="000000"/>
        </w:rPr>
        <w:t xml:space="preserve"> </w:t>
      </w:r>
      <w:r w:rsidRPr="00C75AA3">
        <w:rPr>
          <w:color w:val="222222"/>
          <w:shd w:val="clear" w:color="auto" w:fill="FFFFFF"/>
        </w:rPr>
        <w:t> ai fini dell'elaborazione graduatorie sarà considerato il punteggio definito internamente in sede di valutazione dei titoli per l'accesso ai benefici</w:t>
      </w:r>
      <w:r w:rsidRPr="00C75AA3">
        <w:rPr>
          <w:color w:val="222222"/>
          <w:shd w:val="clear" w:color="auto" w:fill="FFFFFF"/>
        </w:rPr>
        <w:t xml:space="preserve"> economici</w:t>
      </w:r>
      <w:r w:rsidRPr="00C75AA3">
        <w:rPr>
          <w:color w:val="222222"/>
          <w:shd w:val="clear" w:color="auto" w:fill="FFFFFF"/>
        </w:rPr>
        <w:t xml:space="preserve"> </w:t>
      </w:r>
      <w:r w:rsidR="000026ED" w:rsidRPr="00C75AA3">
        <w:rPr>
          <w:color w:val="000000"/>
        </w:rPr>
        <w:t>, stilato da apposita commissione, convertito in centodecimi per uniformarlo al   punteggio di laurea italiano.</w:t>
      </w:r>
      <w:bookmarkStart w:id="0" w:name="_GoBack"/>
      <w:bookmarkEnd w:id="0"/>
    </w:p>
    <w:p w14:paraId="1DBCBAC4" w14:textId="77777777" w:rsidR="009962D0" w:rsidRDefault="009962D0" w:rsidP="003E12B2">
      <w:pPr>
        <w:widowControl w:val="0"/>
        <w:pBdr>
          <w:top w:val="nil"/>
          <w:left w:val="nil"/>
          <w:bottom w:val="nil"/>
          <w:right w:val="nil"/>
          <w:between w:val="nil"/>
        </w:pBdr>
        <w:spacing w:line="224" w:lineRule="auto"/>
        <w:rPr>
          <w:color w:val="000000"/>
          <w:sz w:val="36"/>
          <w:szCs w:val="36"/>
          <w:vertAlign w:val="superscript"/>
        </w:rPr>
      </w:pPr>
    </w:p>
    <w:p w14:paraId="2BF4C063" w14:textId="77777777" w:rsidR="009962D0" w:rsidRDefault="009962D0" w:rsidP="003E12B2">
      <w:pPr>
        <w:widowControl w:val="0"/>
        <w:pBdr>
          <w:top w:val="nil"/>
          <w:left w:val="nil"/>
          <w:bottom w:val="nil"/>
          <w:right w:val="nil"/>
          <w:between w:val="nil"/>
        </w:pBdr>
        <w:spacing w:line="224" w:lineRule="auto"/>
        <w:rPr>
          <w:color w:val="000000"/>
          <w:sz w:val="36"/>
          <w:szCs w:val="36"/>
          <w:vertAlign w:val="superscript"/>
        </w:rPr>
      </w:pPr>
    </w:p>
    <w:p w14:paraId="00A1373E" w14:textId="77777777" w:rsidR="009962D0" w:rsidRDefault="009962D0" w:rsidP="003E12B2">
      <w:pPr>
        <w:widowControl w:val="0"/>
        <w:pBdr>
          <w:top w:val="nil"/>
          <w:left w:val="nil"/>
          <w:bottom w:val="nil"/>
          <w:right w:val="nil"/>
          <w:between w:val="nil"/>
        </w:pBdr>
        <w:spacing w:line="224" w:lineRule="auto"/>
        <w:rPr>
          <w:color w:val="000000"/>
          <w:sz w:val="36"/>
          <w:szCs w:val="36"/>
          <w:vertAlign w:val="superscript"/>
        </w:rPr>
      </w:pPr>
    </w:p>
    <w:p w14:paraId="42AE0985" w14:textId="77777777" w:rsidR="009962D0" w:rsidRDefault="009962D0" w:rsidP="003E12B2">
      <w:pPr>
        <w:widowControl w:val="0"/>
        <w:pBdr>
          <w:top w:val="nil"/>
          <w:left w:val="nil"/>
          <w:bottom w:val="nil"/>
          <w:right w:val="nil"/>
          <w:between w:val="nil"/>
        </w:pBdr>
        <w:spacing w:line="224" w:lineRule="auto"/>
        <w:rPr>
          <w:color w:val="000000"/>
          <w:sz w:val="36"/>
          <w:szCs w:val="36"/>
          <w:vertAlign w:val="superscript"/>
        </w:rPr>
      </w:pPr>
    </w:p>
    <w:p w14:paraId="5FF3005A" w14:textId="77777777" w:rsidR="009962D0" w:rsidRDefault="009962D0" w:rsidP="003E12B2">
      <w:pPr>
        <w:widowControl w:val="0"/>
        <w:pBdr>
          <w:top w:val="nil"/>
          <w:left w:val="nil"/>
          <w:bottom w:val="nil"/>
          <w:right w:val="nil"/>
          <w:between w:val="nil"/>
        </w:pBdr>
        <w:spacing w:line="224" w:lineRule="auto"/>
        <w:rPr>
          <w:color w:val="000000"/>
          <w:sz w:val="36"/>
          <w:szCs w:val="36"/>
          <w:vertAlign w:val="superscript"/>
        </w:rPr>
      </w:pPr>
    </w:p>
    <w:p w14:paraId="0D7DA06D" w14:textId="77777777" w:rsidR="009F3DE8" w:rsidRDefault="009F3DE8" w:rsidP="003E12B2">
      <w:pPr>
        <w:widowControl w:val="0"/>
        <w:pBdr>
          <w:top w:val="nil"/>
          <w:left w:val="nil"/>
          <w:bottom w:val="nil"/>
          <w:right w:val="nil"/>
          <w:between w:val="nil"/>
        </w:pBdr>
        <w:spacing w:line="224" w:lineRule="auto"/>
        <w:rPr>
          <w:color w:val="000000"/>
          <w:sz w:val="36"/>
          <w:szCs w:val="36"/>
          <w:vertAlign w:val="superscript"/>
        </w:rPr>
      </w:pPr>
    </w:p>
    <w:p w14:paraId="5D0B6B23" w14:textId="27801FA2" w:rsidR="00A34EDD" w:rsidRDefault="009F3DE8" w:rsidP="003E12B2">
      <w:pPr>
        <w:widowControl w:val="0"/>
        <w:pBdr>
          <w:top w:val="nil"/>
          <w:left w:val="nil"/>
          <w:bottom w:val="nil"/>
          <w:right w:val="nil"/>
          <w:between w:val="nil"/>
        </w:pBdr>
        <w:spacing w:line="224" w:lineRule="auto"/>
        <w:rPr>
          <w:color w:val="000000"/>
        </w:rPr>
        <w:sectPr w:rsidR="00A34EDD">
          <w:type w:val="continuous"/>
          <w:pgSz w:w="11900" w:h="16820"/>
          <w:pgMar w:top="1367" w:right="6186" w:bottom="568" w:left="1508" w:header="0" w:footer="720" w:gutter="0"/>
          <w:cols w:num="2" w:space="720" w:equalWidth="0">
            <w:col w:w="2120" w:space="0"/>
            <w:col w:w="2120" w:space="0"/>
          </w:cols>
        </w:sectPr>
      </w:pPr>
      <w:r>
        <w:rPr>
          <w:color w:val="000000"/>
          <w:sz w:val="36"/>
          <w:szCs w:val="36"/>
          <w:vertAlign w:val="superscript"/>
        </w:rPr>
        <w:lastRenderedPageBreak/>
        <w:t>Punteggio Attribuito:</w:t>
      </w:r>
    </w:p>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330"/>
      </w:tblGrid>
      <w:tr w:rsidR="003E12B2" w14:paraId="5D9BA337" w14:textId="77777777" w:rsidTr="00E32347">
        <w:trPr>
          <w:trHeight w:val="537"/>
        </w:trPr>
        <w:tc>
          <w:tcPr>
            <w:tcW w:w="1330" w:type="dxa"/>
          </w:tcPr>
          <w:p w14:paraId="045AF339" w14:textId="77777777" w:rsidR="003E12B2" w:rsidRDefault="003E12B2" w:rsidP="00E32347">
            <w:pPr>
              <w:pStyle w:val="TableParagraph"/>
              <w:spacing w:line="265" w:lineRule="exact"/>
            </w:pPr>
            <w:proofErr w:type="spellStart"/>
            <w:r>
              <w:rPr>
                <w:spacing w:val="-2"/>
              </w:rPr>
              <w:t>Votazione</w:t>
            </w:r>
            <w:proofErr w:type="spellEnd"/>
          </w:p>
          <w:p w14:paraId="303189AE" w14:textId="77777777" w:rsidR="003E12B2" w:rsidRDefault="003E12B2" w:rsidP="00E32347">
            <w:pPr>
              <w:pStyle w:val="TableParagraph"/>
              <w:spacing w:line="252" w:lineRule="exact"/>
            </w:pPr>
            <w:r>
              <w:rPr>
                <w:spacing w:val="-2"/>
              </w:rPr>
              <w:t>Media</w:t>
            </w:r>
          </w:p>
        </w:tc>
        <w:tc>
          <w:tcPr>
            <w:tcW w:w="1330" w:type="dxa"/>
          </w:tcPr>
          <w:p w14:paraId="777BA5FC" w14:textId="77777777" w:rsidR="003E12B2" w:rsidRDefault="003E12B2" w:rsidP="00E32347">
            <w:pPr>
              <w:pStyle w:val="TableParagraph"/>
              <w:spacing w:line="265" w:lineRule="exact"/>
            </w:pPr>
            <w:proofErr w:type="spellStart"/>
            <w:r>
              <w:rPr>
                <w:spacing w:val="-4"/>
              </w:rPr>
              <w:t>Punti</w:t>
            </w:r>
            <w:proofErr w:type="spellEnd"/>
          </w:p>
        </w:tc>
      </w:tr>
      <w:tr w:rsidR="003E12B2" w14:paraId="3432DDCB" w14:textId="77777777" w:rsidTr="00E32347">
        <w:trPr>
          <w:trHeight w:val="268"/>
        </w:trPr>
        <w:tc>
          <w:tcPr>
            <w:tcW w:w="1330" w:type="dxa"/>
          </w:tcPr>
          <w:p w14:paraId="36D159C3" w14:textId="77777777" w:rsidR="003E12B2" w:rsidRDefault="003E12B2" w:rsidP="00E32347">
            <w:pPr>
              <w:pStyle w:val="TableParagraph"/>
            </w:pPr>
            <w:r>
              <w:rPr>
                <w:spacing w:val="-5"/>
              </w:rPr>
              <w:t>&lt;20</w:t>
            </w:r>
          </w:p>
        </w:tc>
        <w:tc>
          <w:tcPr>
            <w:tcW w:w="1330" w:type="dxa"/>
          </w:tcPr>
          <w:p w14:paraId="186D4D15" w14:textId="77777777" w:rsidR="003E12B2" w:rsidRDefault="003E12B2" w:rsidP="00E32347">
            <w:pPr>
              <w:pStyle w:val="TableParagraph"/>
            </w:pPr>
            <w:r>
              <w:rPr>
                <w:spacing w:val="-10"/>
              </w:rPr>
              <w:t>0</w:t>
            </w:r>
          </w:p>
        </w:tc>
      </w:tr>
      <w:tr w:rsidR="003E12B2" w14:paraId="02124DC3" w14:textId="77777777" w:rsidTr="00E32347">
        <w:trPr>
          <w:trHeight w:val="268"/>
        </w:trPr>
        <w:tc>
          <w:tcPr>
            <w:tcW w:w="1330" w:type="dxa"/>
          </w:tcPr>
          <w:p w14:paraId="1E73934F" w14:textId="77777777" w:rsidR="003E12B2" w:rsidRDefault="003E12B2" w:rsidP="00E32347">
            <w:pPr>
              <w:pStyle w:val="TableParagraph"/>
            </w:pPr>
            <w:r>
              <w:t>Tra</w:t>
            </w:r>
            <w:r>
              <w:rPr>
                <w:rFonts w:ascii="Times New Roman"/>
                <w:spacing w:val="-6"/>
              </w:rPr>
              <w:t xml:space="preserve"> </w:t>
            </w:r>
            <w:r>
              <w:t>20</w:t>
            </w:r>
            <w:r>
              <w:rPr>
                <w:rFonts w:ascii="Times New Roman"/>
                <w:spacing w:val="-6"/>
              </w:rPr>
              <w:t xml:space="preserve"> </w:t>
            </w:r>
            <w:r>
              <w:t>e</w:t>
            </w:r>
            <w:r>
              <w:rPr>
                <w:rFonts w:ascii="Times New Roman"/>
                <w:spacing w:val="-7"/>
              </w:rPr>
              <w:t xml:space="preserve"> </w:t>
            </w:r>
            <w:r>
              <w:rPr>
                <w:spacing w:val="-5"/>
              </w:rPr>
              <w:t>23</w:t>
            </w:r>
          </w:p>
        </w:tc>
        <w:tc>
          <w:tcPr>
            <w:tcW w:w="1330" w:type="dxa"/>
          </w:tcPr>
          <w:p w14:paraId="52E6FA04" w14:textId="77777777" w:rsidR="003E12B2" w:rsidRDefault="003E12B2" w:rsidP="00E32347">
            <w:pPr>
              <w:pStyle w:val="TableParagraph"/>
            </w:pPr>
            <w:r>
              <w:rPr>
                <w:spacing w:val="-10"/>
              </w:rPr>
              <w:t>3</w:t>
            </w:r>
          </w:p>
        </w:tc>
      </w:tr>
      <w:tr w:rsidR="003E12B2" w14:paraId="3C2BABFB" w14:textId="77777777" w:rsidTr="00E32347">
        <w:trPr>
          <w:trHeight w:val="268"/>
        </w:trPr>
        <w:tc>
          <w:tcPr>
            <w:tcW w:w="1330" w:type="dxa"/>
          </w:tcPr>
          <w:p w14:paraId="133DF14F" w14:textId="77777777" w:rsidR="003E12B2" w:rsidRDefault="003E12B2" w:rsidP="00E32347">
            <w:pPr>
              <w:pStyle w:val="TableParagraph"/>
            </w:pPr>
            <w:r>
              <w:t>Tra</w:t>
            </w:r>
            <w:r>
              <w:rPr>
                <w:rFonts w:ascii="Times New Roman"/>
                <w:spacing w:val="-6"/>
              </w:rPr>
              <w:t xml:space="preserve"> </w:t>
            </w:r>
            <w:r>
              <w:t>24</w:t>
            </w:r>
            <w:r>
              <w:rPr>
                <w:rFonts w:ascii="Times New Roman"/>
                <w:spacing w:val="-6"/>
              </w:rPr>
              <w:t xml:space="preserve"> </w:t>
            </w:r>
            <w:r>
              <w:t>e</w:t>
            </w:r>
            <w:r>
              <w:rPr>
                <w:rFonts w:ascii="Times New Roman"/>
                <w:spacing w:val="-7"/>
              </w:rPr>
              <w:t xml:space="preserve"> </w:t>
            </w:r>
            <w:r>
              <w:rPr>
                <w:spacing w:val="-5"/>
              </w:rPr>
              <w:t>27</w:t>
            </w:r>
          </w:p>
        </w:tc>
        <w:tc>
          <w:tcPr>
            <w:tcW w:w="1330" w:type="dxa"/>
          </w:tcPr>
          <w:p w14:paraId="4A5F1168" w14:textId="77777777" w:rsidR="003E12B2" w:rsidRDefault="003E12B2" w:rsidP="00E32347">
            <w:pPr>
              <w:pStyle w:val="TableParagraph"/>
            </w:pPr>
            <w:r>
              <w:rPr>
                <w:spacing w:val="-10"/>
              </w:rPr>
              <w:t>6</w:t>
            </w:r>
          </w:p>
        </w:tc>
      </w:tr>
      <w:tr w:rsidR="003E12B2" w14:paraId="448CBC6C" w14:textId="77777777" w:rsidTr="00E32347">
        <w:trPr>
          <w:trHeight w:val="268"/>
        </w:trPr>
        <w:tc>
          <w:tcPr>
            <w:tcW w:w="1330" w:type="dxa"/>
          </w:tcPr>
          <w:p w14:paraId="727196EB" w14:textId="77777777" w:rsidR="003E12B2" w:rsidRDefault="003E12B2" w:rsidP="00E32347">
            <w:pPr>
              <w:pStyle w:val="TableParagraph"/>
            </w:pPr>
            <w:r>
              <w:t>Tra</w:t>
            </w:r>
            <w:r>
              <w:rPr>
                <w:rFonts w:ascii="Times New Roman"/>
                <w:spacing w:val="-6"/>
              </w:rPr>
              <w:t xml:space="preserve"> </w:t>
            </w:r>
            <w:r>
              <w:t>28</w:t>
            </w:r>
            <w:r>
              <w:rPr>
                <w:rFonts w:ascii="Times New Roman"/>
                <w:spacing w:val="-6"/>
              </w:rPr>
              <w:t xml:space="preserve"> </w:t>
            </w:r>
            <w:r>
              <w:t>e</w:t>
            </w:r>
            <w:r>
              <w:rPr>
                <w:rFonts w:ascii="Times New Roman"/>
                <w:spacing w:val="-7"/>
              </w:rPr>
              <w:t xml:space="preserve"> </w:t>
            </w:r>
            <w:r>
              <w:rPr>
                <w:spacing w:val="-5"/>
              </w:rPr>
              <w:t>29</w:t>
            </w:r>
          </w:p>
        </w:tc>
        <w:tc>
          <w:tcPr>
            <w:tcW w:w="1330" w:type="dxa"/>
          </w:tcPr>
          <w:p w14:paraId="0AB7B44E" w14:textId="77777777" w:rsidR="003E12B2" w:rsidRDefault="003E12B2" w:rsidP="00E32347">
            <w:pPr>
              <w:pStyle w:val="TableParagraph"/>
            </w:pPr>
            <w:r>
              <w:rPr>
                <w:spacing w:val="-10"/>
              </w:rPr>
              <w:t>8</w:t>
            </w:r>
          </w:p>
        </w:tc>
      </w:tr>
      <w:tr w:rsidR="003E12B2" w14:paraId="242803D8" w14:textId="77777777" w:rsidTr="00E32347">
        <w:trPr>
          <w:trHeight w:val="268"/>
        </w:trPr>
        <w:tc>
          <w:tcPr>
            <w:tcW w:w="1330" w:type="dxa"/>
          </w:tcPr>
          <w:p w14:paraId="66255BE4" w14:textId="77777777" w:rsidR="003E12B2" w:rsidRDefault="003E12B2" w:rsidP="00E32347">
            <w:pPr>
              <w:pStyle w:val="TableParagraph"/>
            </w:pPr>
            <w:r>
              <w:rPr>
                <w:spacing w:val="-5"/>
              </w:rPr>
              <w:t>30</w:t>
            </w:r>
          </w:p>
        </w:tc>
        <w:tc>
          <w:tcPr>
            <w:tcW w:w="1330" w:type="dxa"/>
          </w:tcPr>
          <w:p w14:paraId="42431FCE" w14:textId="77777777" w:rsidR="003E12B2" w:rsidRDefault="003E12B2" w:rsidP="00E32347">
            <w:pPr>
              <w:pStyle w:val="TableParagraph"/>
            </w:pPr>
            <w:r>
              <w:rPr>
                <w:spacing w:val="-5"/>
              </w:rPr>
              <w:t>10</w:t>
            </w:r>
          </w:p>
        </w:tc>
      </w:tr>
    </w:tbl>
    <w:p w14:paraId="6085D19D" w14:textId="7B300292" w:rsidR="00A34EDD" w:rsidRDefault="00A34EDD" w:rsidP="00A762D6">
      <w:pPr>
        <w:widowControl w:val="0"/>
        <w:pBdr>
          <w:top w:val="nil"/>
          <w:left w:val="nil"/>
          <w:bottom w:val="nil"/>
          <w:right w:val="nil"/>
          <w:between w:val="nil"/>
        </w:pBdr>
        <w:spacing w:before="20" w:line="240" w:lineRule="auto"/>
        <w:rPr>
          <w:color w:val="000000"/>
          <w:highlight w:val="black"/>
        </w:rPr>
      </w:pPr>
    </w:p>
    <w:p w14:paraId="287F0508" w14:textId="77777777" w:rsidR="00A34EDD" w:rsidRDefault="00A34EDD">
      <w:pPr>
        <w:widowControl w:val="0"/>
        <w:pBdr>
          <w:top w:val="nil"/>
          <w:left w:val="nil"/>
          <w:bottom w:val="nil"/>
          <w:right w:val="nil"/>
          <w:between w:val="nil"/>
        </w:pBdr>
        <w:rPr>
          <w:color w:val="000000"/>
        </w:rPr>
      </w:pPr>
    </w:p>
    <w:p w14:paraId="2BF0D5F4" w14:textId="77777777" w:rsidR="00A34EDD" w:rsidRDefault="00A34EDD">
      <w:pPr>
        <w:widowControl w:val="0"/>
        <w:pBdr>
          <w:top w:val="nil"/>
          <w:left w:val="nil"/>
          <w:bottom w:val="nil"/>
          <w:right w:val="nil"/>
          <w:between w:val="nil"/>
        </w:pBdr>
        <w:rPr>
          <w:color w:val="000000"/>
        </w:rPr>
      </w:pPr>
    </w:p>
    <w:p w14:paraId="514CC782" w14:textId="77777777" w:rsidR="00A34EDD" w:rsidRDefault="00C75AA3">
      <w:pPr>
        <w:widowControl w:val="0"/>
        <w:pBdr>
          <w:top w:val="nil"/>
          <w:left w:val="nil"/>
          <w:bottom w:val="nil"/>
          <w:right w:val="nil"/>
          <w:between w:val="nil"/>
        </w:pBdr>
        <w:spacing w:line="240" w:lineRule="auto"/>
        <w:ind w:left="3"/>
        <w:rPr>
          <w:color w:val="000000"/>
        </w:rPr>
      </w:pPr>
      <w:r>
        <w:rPr>
          <w:color w:val="000000"/>
        </w:rPr>
        <w:t xml:space="preserve">Studenti iscritti al I anno della laurea triennale (LT)  </w:t>
      </w:r>
    </w:p>
    <w:p w14:paraId="098EA637" w14:textId="22A4C110" w:rsidR="00A34EDD" w:rsidRDefault="00C75AA3">
      <w:pPr>
        <w:widowControl w:val="0"/>
        <w:pBdr>
          <w:top w:val="nil"/>
          <w:left w:val="nil"/>
          <w:bottom w:val="nil"/>
          <w:right w:val="nil"/>
          <w:between w:val="nil"/>
        </w:pBdr>
        <w:spacing w:before="263" w:line="243" w:lineRule="auto"/>
        <w:ind w:left="6" w:right="-6" w:firstLine="8"/>
        <w:jc w:val="both"/>
        <w:rPr>
          <w:color w:val="000000"/>
        </w:rPr>
      </w:pPr>
      <w:r>
        <w:rPr>
          <w:color w:val="000000"/>
        </w:rPr>
        <w:t xml:space="preserve">La maggior parte dei corsi di studio della Scuola di Scienze ha stabilito di non ammettere le domande </w:t>
      </w:r>
      <w:r w:rsidR="00AF10BE">
        <w:rPr>
          <w:color w:val="000000"/>
        </w:rPr>
        <w:t>delle matricole</w:t>
      </w:r>
      <w:r>
        <w:rPr>
          <w:color w:val="000000"/>
        </w:rPr>
        <w:t xml:space="preserve"> triennali. L’ elenco dei corsi di studio che consentono agli studenti del I anno della LT di </w:t>
      </w:r>
      <w:r w:rsidR="00AF10BE">
        <w:rPr>
          <w:color w:val="000000"/>
        </w:rPr>
        <w:t>presentare domanda</w:t>
      </w:r>
      <w:r>
        <w:rPr>
          <w:color w:val="000000"/>
        </w:rPr>
        <w:t xml:space="preserve"> verrà riportato, al momento del Bando, nella sezione Erasmus del sito della Scuola di Scienze. </w:t>
      </w:r>
    </w:p>
    <w:p w14:paraId="408B333E" w14:textId="0968962D" w:rsidR="00A34EDD" w:rsidRDefault="00C75AA3">
      <w:pPr>
        <w:widowControl w:val="0"/>
        <w:pBdr>
          <w:top w:val="nil"/>
          <w:left w:val="nil"/>
          <w:bottom w:val="nil"/>
          <w:right w:val="nil"/>
          <w:between w:val="nil"/>
        </w:pBdr>
        <w:spacing w:before="257" w:line="243" w:lineRule="auto"/>
        <w:ind w:left="3" w:right="-5" w:firstLine="11"/>
        <w:rPr>
          <w:color w:val="000000"/>
        </w:rPr>
      </w:pPr>
      <w:r>
        <w:rPr>
          <w:color w:val="000000"/>
        </w:rPr>
        <w:t>Per valutare le domande presenta</w:t>
      </w:r>
      <w:r>
        <w:rPr>
          <w:color w:val="000000"/>
        </w:rPr>
        <w:t xml:space="preserve">te al I bando da studenti del I anno della LT – nei corsi di studio dove ammesso - per la presente voce, il punteggio sarà espresso con un voto da </w:t>
      </w:r>
      <w:proofErr w:type="spellStart"/>
      <w:r>
        <w:rPr>
          <w:color w:val="000000"/>
        </w:rPr>
        <w:t>da</w:t>
      </w:r>
      <w:proofErr w:type="spellEnd"/>
      <w:r>
        <w:rPr>
          <w:color w:val="000000"/>
        </w:rPr>
        <w:t xml:space="preserve"> 0 a 10 sulla base dei seguenti elementi: </w:t>
      </w:r>
    </w:p>
    <w:p w14:paraId="3739B242" w14:textId="77777777" w:rsidR="00A34EDD" w:rsidRDefault="00C75AA3">
      <w:pPr>
        <w:widowControl w:val="0"/>
        <w:pBdr>
          <w:top w:val="nil"/>
          <w:left w:val="nil"/>
          <w:bottom w:val="nil"/>
          <w:right w:val="nil"/>
          <w:between w:val="nil"/>
        </w:pBdr>
        <w:spacing w:before="202" w:line="240" w:lineRule="auto"/>
        <w:ind w:left="488"/>
        <w:rPr>
          <w:color w:val="000000"/>
        </w:rPr>
      </w:pPr>
      <w:r>
        <w:rPr>
          <w:color w:val="000000"/>
        </w:rPr>
        <w:t xml:space="preserve">1. votazione riportata all'esame di maturità,  </w:t>
      </w:r>
    </w:p>
    <w:p w14:paraId="3B78548F" w14:textId="77777777" w:rsidR="00A34EDD" w:rsidRDefault="00C75AA3">
      <w:pPr>
        <w:widowControl w:val="0"/>
        <w:pBdr>
          <w:top w:val="nil"/>
          <w:left w:val="nil"/>
          <w:bottom w:val="nil"/>
          <w:right w:val="nil"/>
          <w:between w:val="nil"/>
        </w:pBdr>
        <w:spacing w:before="191" w:line="240" w:lineRule="auto"/>
        <w:ind w:left="481"/>
        <w:rPr>
          <w:color w:val="000000"/>
        </w:rPr>
      </w:pPr>
      <w:r>
        <w:rPr>
          <w:color w:val="000000"/>
        </w:rPr>
        <w:t xml:space="preserve">2. votazione riportata nell'esame di ingresso.  </w:t>
      </w:r>
    </w:p>
    <w:p w14:paraId="1250CFD6" w14:textId="77777777" w:rsidR="00A34EDD" w:rsidRDefault="00C75AA3">
      <w:pPr>
        <w:widowControl w:val="0"/>
        <w:pBdr>
          <w:top w:val="nil"/>
          <w:left w:val="nil"/>
          <w:bottom w:val="nil"/>
          <w:right w:val="nil"/>
          <w:between w:val="nil"/>
        </w:pBdr>
        <w:spacing w:before="195" w:line="240" w:lineRule="auto"/>
        <w:ind w:left="15"/>
        <w:rPr>
          <w:color w:val="000000"/>
        </w:rPr>
      </w:pPr>
      <w:r>
        <w:rPr>
          <w:color w:val="000000"/>
        </w:rPr>
        <w:t xml:space="preserve">Per i bandi successivi, le domande delle matricole verranno valutate nel modo normale.  </w:t>
      </w:r>
    </w:p>
    <w:p w14:paraId="41420F12" w14:textId="54EF67FA" w:rsidR="00A34EDD" w:rsidRDefault="00C75AA3">
      <w:pPr>
        <w:widowControl w:val="0"/>
        <w:pBdr>
          <w:top w:val="nil"/>
          <w:left w:val="nil"/>
          <w:bottom w:val="nil"/>
          <w:right w:val="nil"/>
          <w:between w:val="nil"/>
        </w:pBdr>
        <w:spacing w:before="462" w:line="279" w:lineRule="auto"/>
        <w:ind w:right="104" w:firstLine="11"/>
        <w:jc w:val="both"/>
        <w:rPr>
          <w:color w:val="000000"/>
        </w:rPr>
      </w:pPr>
      <w:r>
        <w:rPr>
          <w:color w:val="000000"/>
          <w:u w:val="single"/>
        </w:rPr>
        <w:t>Efficienza negli studi:</w:t>
      </w:r>
      <w:r>
        <w:rPr>
          <w:color w:val="000000"/>
        </w:rPr>
        <w:t xml:space="preserve"> calcolata come numero totale dei crediti conseguiti/numero di semestri. Nel caso lo studente abbia conseguito la laurea triennale, questa conterà 180 CFU. Nel caso di cambi di corsi di studio, verrà considerata solo l'efficienza nel corso di studio freque</w:t>
      </w:r>
      <w:r>
        <w:rPr>
          <w:color w:val="000000"/>
        </w:rPr>
        <w:t xml:space="preserve">ntato al momento della domanda, tenendo conto di eventuali crediti riconosciuti ai fini di questa laurea. Si terrà conto di eventuali interruzioni tra la </w:t>
      </w:r>
      <w:r w:rsidR="009962D0">
        <w:rPr>
          <w:color w:val="000000"/>
        </w:rPr>
        <w:t>laurea triennale</w:t>
      </w:r>
      <w:r>
        <w:rPr>
          <w:color w:val="000000"/>
        </w:rPr>
        <w:t xml:space="preserve"> e quella magistrale. Per gli studenti iscritti a tempo parziale si terrà conto del li</w:t>
      </w:r>
      <w:r>
        <w:rPr>
          <w:color w:val="000000"/>
        </w:rPr>
        <w:t xml:space="preserve">mite massimo di crediti che essi possono superare in ogni semestre. </w:t>
      </w:r>
    </w:p>
    <w:p w14:paraId="42BDBF5A" w14:textId="34EDFCFA" w:rsidR="00A34EDD" w:rsidRDefault="00C75AA3" w:rsidP="003E12B2">
      <w:pPr>
        <w:widowControl w:val="0"/>
        <w:pBdr>
          <w:top w:val="nil"/>
          <w:left w:val="nil"/>
          <w:bottom w:val="nil"/>
          <w:right w:val="nil"/>
          <w:between w:val="nil"/>
        </w:pBdr>
        <w:spacing w:before="214" w:line="240" w:lineRule="auto"/>
        <w:ind w:left="11"/>
        <w:rPr>
          <w:color w:val="000000"/>
        </w:rPr>
      </w:pPr>
      <w:r>
        <w:rPr>
          <w:color w:val="000000"/>
        </w:rPr>
        <w:t xml:space="preserve">Punteggio Attribuito:  </w:t>
      </w:r>
    </w:p>
    <w:p w14:paraId="5038C426" w14:textId="77777777" w:rsidR="003E12B2" w:rsidRDefault="003E12B2" w:rsidP="003E12B2">
      <w:pPr>
        <w:widowControl w:val="0"/>
        <w:pBdr>
          <w:top w:val="nil"/>
          <w:left w:val="nil"/>
          <w:bottom w:val="nil"/>
          <w:right w:val="nil"/>
          <w:between w:val="nil"/>
        </w:pBdr>
        <w:spacing w:before="214" w:line="240" w:lineRule="auto"/>
        <w:ind w:left="11"/>
        <w:rPr>
          <w:color w:val="000000"/>
        </w:rPr>
      </w:pPr>
    </w:p>
    <w:tbl>
      <w:tblPr>
        <w:tblStyle w:val="TableNormal0"/>
        <w:tblW w:w="0" w:type="auto"/>
        <w:tblInd w:w="1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733"/>
      </w:tblGrid>
      <w:tr w:rsidR="003E12B2" w14:paraId="40BFBF37" w14:textId="77777777" w:rsidTr="00E32347">
        <w:trPr>
          <w:trHeight w:val="270"/>
        </w:trPr>
        <w:tc>
          <w:tcPr>
            <w:tcW w:w="1733" w:type="dxa"/>
          </w:tcPr>
          <w:p w14:paraId="7E21F090" w14:textId="77777777" w:rsidR="003E12B2" w:rsidRDefault="003E12B2" w:rsidP="00E32347">
            <w:pPr>
              <w:pStyle w:val="TableParagraph"/>
              <w:spacing w:line="251" w:lineRule="exact"/>
              <w:jc w:val="both"/>
            </w:pPr>
            <w:r>
              <w:rPr>
                <w:spacing w:val="-2"/>
              </w:rPr>
              <w:t>CFU/</w:t>
            </w:r>
            <w:proofErr w:type="spellStart"/>
            <w:r>
              <w:rPr>
                <w:spacing w:val="-2"/>
              </w:rPr>
              <w:t>semestre</w:t>
            </w:r>
            <w:proofErr w:type="spellEnd"/>
          </w:p>
        </w:tc>
        <w:tc>
          <w:tcPr>
            <w:tcW w:w="1733" w:type="dxa"/>
          </w:tcPr>
          <w:p w14:paraId="7716CCE7" w14:textId="77777777" w:rsidR="003E12B2" w:rsidRDefault="003E12B2" w:rsidP="00E32347">
            <w:pPr>
              <w:pStyle w:val="TableParagraph"/>
              <w:spacing w:line="251" w:lineRule="exact"/>
              <w:jc w:val="both"/>
            </w:pPr>
            <w:proofErr w:type="spellStart"/>
            <w:r>
              <w:rPr>
                <w:spacing w:val="-4"/>
              </w:rPr>
              <w:t>Punti</w:t>
            </w:r>
            <w:proofErr w:type="spellEnd"/>
          </w:p>
        </w:tc>
      </w:tr>
      <w:tr w:rsidR="003E12B2" w14:paraId="0D6CCDE3" w14:textId="77777777" w:rsidTr="00E32347">
        <w:trPr>
          <w:trHeight w:val="270"/>
        </w:trPr>
        <w:tc>
          <w:tcPr>
            <w:tcW w:w="1733" w:type="dxa"/>
          </w:tcPr>
          <w:p w14:paraId="17178038" w14:textId="77777777" w:rsidR="003E12B2" w:rsidRDefault="003E12B2" w:rsidP="00E32347">
            <w:pPr>
              <w:pStyle w:val="TableParagraph"/>
              <w:spacing w:line="251" w:lineRule="exact"/>
              <w:jc w:val="both"/>
            </w:pPr>
            <w:r>
              <w:rPr>
                <w:spacing w:val="-5"/>
              </w:rPr>
              <w:t>&lt;10</w:t>
            </w:r>
          </w:p>
        </w:tc>
        <w:tc>
          <w:tcPr>
            <w:tcW w:w="1733" w:type="dxa"/>
          </w:tcPr>
          <w:p w14:paraId="7B9E92A5" w14:textId="77777777" w:rsidR="003E12B2" w:rsidRDefault="003E12B2" w:rsidP="00E32347">
            <w:pPr>
              <w:pStyle w:val="TableParagraph"/>
              <w:spacing w:line="251" w:lineRule="exact"/>
              <w:jc w:val="both"/>
            </w:pPr>
            <w:r>
              <w:rPr>
                <w:spacing w:val="-10"/>
              </w:rPr>
              <w:t>0</w:t>
            </w:r>
          </w:p>
        </w:tc>
      </w:tr>
      <w:tr w:rsidR="003E12B2" w14:paraId="14101C93" w14:textId="77777777" w:rsidTr="00E32347">
        <w:trPr>
          <w:trHeight w:val="273"/>
        </w:trPr>
        <w:tc>
          <w:tcPr>
            <w:tcW w:w="1733" w:type="dxa"/>
          </w:tcPr>
          <w:p w14:paraId="22234061" w14:textId="77777777" w:rsidR="003E12B2" w:rsidRDefault="003E12B2" w:rsidP="00E32347">
            <w:pPr>
              <w:pStyle w:val="TableParagraph"/>
              <w:spacing w:line="253" w:lineRule="exact"/>
              <w:jc w:val="both"/>
            </w:pPr>
            <w:r>
              <w:t>Tra</w:t>
            </w:r>
            <w:r>
              <w:rPr>
                <w:rFonts w:ascii="Times New Roman"/>
                <w:spacing w:val="-6"/>
              </w:rPr>
              <w:t xml:space="preserve"> </w:t>
            </w:r>
            <w:r>
              <w:t>10</w:t>
            </w:r>
            <w:r>
              <w:rPr>
                <w:rFonts w:ascii="Times New Roman"/>
                <w:spacing w:val="-6"/>
              </w:rPr>
              <w:t xml:space="preserve"> </w:t>
            </w:r>
            <w:r>
              <w:t>e</w:t>
            </w:r>
            <w:r>
              <w:rPr>
                <w:rFonts w:ascii="Times New Roman"/>
                <w:spacing w:val="-7"/>
              </w:rPr>
              <w:t xml:space="preserve"> </w:t>
            </w:r>
            <w:r>
              <w:rPr>
                <w:spacing w:val="-5"/>
              </w:rPr>
              <w:t>15</w:t>
            </w:r>
          </w:p>
        </w:tc>
        <w:tc>
          <w:tcPr>
            <w:tcW w:w="1733" w:type="dxa"/>
          </w:tcPr>
          <w:p w14:paraId="3D698495" w14:textId="77777777" w:rsidR="003E12B2" w:rsidRDefault="003E12B2" w:rsidP="00E32347">
            <w:pPr>
              <w:pStyle w:val="TableParagraph"/>
              <w:spacing w:line="253" w:lineRule="exact"/>
              <w:jc w:val="both"/>
            </w:pPr>
            <w:r>
              <w:rPr>
                <w:spacing w:val="-10"/>
              </w:rPr>
              <w:t>2</w:t>
            </w:r>
          </w:p>
        </w:tc>
      </w:tr>
      <w:tr w:rsidR="003E12B2" w14:paraId="06F916D9" w14:textId="77777777" w:rsidTr="00E32347">
        <w:trPr>
          <w:trHeight w:val="268"/>
        </w:trPr>
        <w:tc>
          <w:tcPr>
            <w:tcW w:w="1733" w:type="dxa"/>
          </w:tcPr>
          <w:p w14:paraId="49250214" w14:textId="77777777" w:rsidR="003E12B2" w:rsidRDefault="003E12B2" w:rsidP="00E32347">
            <w:pPr>
              <w:pStyle w:val="TableParagraph"/>
              <w:jc w:val="both"/>
            </w:pPr>
            <w:r>
              <w:t>Tra</w:t>
            </w:r>
            <w:r>
              <w:rPr>
                <w:rFonts w:ascii="Times New Roman"/>
                <w:spacing w:val="-6"/>
              </w:rPr>
              <w:t xml:space="preserve"> </w:t>
            </w:r>
            <w:r>
              <w:t>16</w:t>
            </w:r>
            <w:r>
              <w:rPr>
                <w:rFonts w:ascii="Times New Roman"/>
                <w:spacing w:val="-6"/>
              </w:rPr>
              <w:t xml:space="preserve"> </w:t>
            </w:r>
            <w:r>
              <w:t>e</w:t>
            </w:r>
            <w:r>
              <w:rPr>
                <w:rFonts w:ascii="Times New Roman"/>
                <w:spacing w:val="-7"/>
              </w:rPr>
              <w:t xml:space="preserve"> </w:t>
            </w:r>
            <w:r>
              <w:rPr>
                <w:spacing w:val="-5"/>
              </w:rPr>
              <w:t>20</w:t>
            </w:r>
          </w:p>
        </w:tc>
        <w:tc>
          <w:tcPr>
            <w:tcW w:w="1733" w:type="dxa"/>
          </w:tcPr>
          <w:p w14:paraId="2BCD8877" w14:textId="77777777" w:rsidR="003E12B2" w:rsidRDefault="003E12B2" w:rsidP="00E32347">
            <w:pPr>
              <w:pStyle w:val="TableParagraph"/>
              <w:jc w:val="both"/>
            </w:pPr>
            <w:r>
              <w:rPr>
                <w:spacing w:val="-10"/>
              </w:rPr>
              <w:t>4</w:t>
            </w:r>
          </w:p>
        </w:tc>
      </w:tr>
      <w:tr w:rsidR="003E12B2" w14:paraId="6501CE57" w14:textId="77777777" w:rsidTr="00E32347">
        <w:trPr>
          <w:trHeight w:val="270"/>
        </w:trPr>
        <w:tc>
          <w:tcPr>
            <w:tcW w:w="1733" w:type="dxa"/>
          </w:tcPr>
          <w:p w14:paraId="1CEE3F9A" w14:textId="77777777" w:rsidR="003E12B2" w:rsidRDefault="003E12B2" w:rsidP="00E32347">
            <w:pPr>
              <w:pStyle w:val="TableParagraph"/>
              <w:spacing w:line="251" w:lineRule="exact"/>
              <w:jc w:val="both"/>
            </w:pPr>
            <w:r>
              <w:t>Tra</w:t>
            </w:r>
            <w:r>
              <w:rPr>
                <w:rFonts w:ascii="Times New Roman"/>
                <w:spacing w:val="-6"/>
              </w:rPr>
              <w:t xml:space="preserve"> </w:t>
            </w:r>
            <w:r>
              <w:t>21</w:t>
            </w:r>
            <w:r>
              <w:rPr>
                <w:rFonts w:ascii="Times New Roman"/>
                <w:spacing w:val="-6"/>
              </w:rPr>
              <w:t xml:space="preserve"> </w:t>
            </w:r>
            <w:r>
              <w:t>e</w:t>
            </w:r>
            <w:r>
              <w:rPr>
                <w:rFonts w:ascii="Times New Roman"/>
                <w:spacing w:val="-7"/>
              </w:rPr>
              <w:t xml:space="preserve"> </w:t>
            </w:r>
            <w:r>
              <w:rPr>
                <w:spacing w:val="-5"/>
              </w:rPr>
              <w:t>25</w:t>
            </w:r>
          </w:p>
        </w:tc>
        <w:tc>
          <w:tcPr>
            <w:tcW w:w="1733" w:type="dxa"/>
          </w:tcPr>
          <w:p w14:paraId="7B0AB655" w14:textId="77777777" w:rsidR="003E12B2" w:rsidRDefault="003E12B2" w:rsidP="00E32347">
            <w:pPr>
              <w:pStyle w:val="TableParagraph"/>
              <w:spacing w:line="251" w:lineRule="exact"/>
              <w:jc w:val="both"/>
            </w:pPr>
            <w:r>
              <w:rPr>
                <w:spacing w:val="-10"/>
              </w:rPr>
              <w:t>6</w:t>
            </w:r>
          </w:p>
        </w:tc>
      </w:tr>
      <w:tr w:rsidR="003E12B2" w14:paraId="0E47126F" w14:textId="77777777" w:rsidTr="00E32347">
        <w:trPr>
          <w:trHeight w:val="273"/>
        </w:trPr>
        <w:tc>
          <w:tcPr>
            <w:tcW w:w="1733" w:type="dxa"/>
          </w:tcPr>
          <w:p w14:paraId="1155DC5D" w14:textId="77777777" w:rsidR="003E12B2" w:rsidRDefault="003E12B2" w:rsidP="00E32347">
            <w:pPr>
              <w:pStyle w:val="TableParagraph"/>
              <w:spacing w:line="253" w:lineRule="exact"/>
              <w:jc w:val="both"/>
            </w:pPr>
            <w:r>
              <w:t>Tra</w:t>
            </w:r>
            <w:r>
              <w:rPr>
                <w:rFonts w:ascii="Times New Roman"/>
                <w:spacing w:val="-6"/>
              </w:rPr>
              <w:t xml:space="preserve"> </w:t>
            </w:r>
            <w:r>
              <w:t>26</w:t>
            </w:r>
            <w:r>
              <w:rPr>
                <w:rFonts w:ascii="Times New Roman"/>
                <w:spacing w:val="-6"/>
              </w:rPr>
              <w:t xml:space="preserve"> </w:t>
            </w:r>
            <w:r>
              <w:t>e</w:t>
            </w:r>
            <w:r>
              <w:rPr>
                <w:rFonts w:ascii="Times New Roman"/>
                <w:spacing w:val="-7"/>
              </w:rPr>
              <w:t xml:space="preserve"> </w:t>
            </w:r>
            <w:r>
              <w:rPr>
                <w:spacing w:val="-5"/>
              </w:rPr>
              <w:t>27</w:t>
            </w:r>
          </w:p>
        </w:tc>
        <w:tc>
          <w:tcPr>
            <w:tcW w:w="1733" w:type="dxa"/>
          </w:tcPr>
          <w:p w14:paraId="25F39FD2" w14:textId="77777777" w:rsidR="003E12B2" w:rsidRDefault="003E12B2" w:rsidP="00E32347">
            <w:pPr>
              <w:pStyle w:val="TableParagraph"/>
              <w:spacing w:line="253" w:lineRule="exact"/>
              <w:jc w:val="both"/>
            </w:pPr>
            <w:r>
              <w:rPr>
                <w:spacing w:val="-10"/>
              </w:rPr>
              <w:t>8</w:t>
            </w:r>
          </w:p>
        </w:tc>
      </w:tr>
      <w:tr w:rsidR="003E12B2" w14:paraId="258A25F2" w14:textId="77777777" w:rsidTr="00E32347">
        <w:trPr>
          <w:trHeight w:val="306"/>
        </w:trPr>
        <w:tc>
          <w:tcPr>
            <w:tcW w:w="1733" w:type="dxa"/>
          </w:tcPr>
          <w:p w14:paraId="579AE951" w14:textId="77777777" w:rsidR="003E12B2" w:rsidRDefault="003E12B2" w:rsidP="00E32347">
            <w:pPr>
              <w:pStyle w:val="TableParagraph"/>
              <w:spacing w:line="265" w:lineRule="exact"/>
              <w:jc w:val="both"/>
            </w:pPr>
            <w:r>
              <w:t>Tra</w:t>
            </w:r>
            <w:r>
              <w:rPr>
                <w:rFonts w:ascii="Times New Roman"/>
                <w:spacing w:val="-6"/>
              </w:rPr>
              <w:t xml:space="preserve"> </w:t>
            </w:r>
            <w:r>
              <w:t>28</w:t>
            </w:r>
            <w:r>
              <w:rPr>
                <w:rFonts w:ascii="Times New Roman"/>
                <w:spacing w:val="-6"/>
              </w:rPr>
              <w:t xml:space="preserve"> </w:t>
            </w:r>
            <w:r>
              <w:t>e</w:t>
            </w:r>
            <w:r>
              <w:rPr>
                <w:rFonts w:ascii="Times New Roman"/>
                <w:spacing w:val="-7"/>
              </w:rPr>
              <w:t xml:space="preserve"> </w:t>
            </w:r>
            <w:r>
              <w:rPr>
                <w:spacing w:val="-5"/>
              </w:rPr>
              <w:t>29</w:t>
            </w:r>
          </w:p>
        </w:tc>
        <w:tc>
          <w:tcPr>
            <w:tcW w:w="1733" w:type="dxa"/>
          </w:tcPr>
          <w:p w14:paraId="6CF59CB8" w14:textId="77777777" w:rsidR="003E12B2" w:rsidRDefault="003E12B2" w:rsidP="00E32347">
            <w:pPr>
              <w:pStyle w:val="TableParagraph"/>
              <w:spacing w:line="265" w:lineRule="exact"/>
              <w:jc w:val="both"/>
            </w:pPr>
            <w:r>
              <w:rPr>
                <w:spacing w:val="-10"/>
              </w:rPr>
              <w:t>9</w:t>
            </w:r>
          </w:p>
        </w:tc>
      </w:tr>
      <w:tr w:rsidR="003E12B2" w14:paraId="4928E2E8" w14:textId="77777777" w:rsidTr="00E32347">
        <w:trPr>
          <w:trHeight w:val="321"/>
        </w:trPr>
        <w:tc>
          <w:tcPr>
            <w:tcW w:w="1733" w:type="dxa"/>
          </w:tcPr>
          <w:p w14:paraId="3FDE8C5B" w14:textId="77777777" w:rsidR="003E12B2" w:rsidRDefault="003E12B2" w:rsidP="00E32347">
            <w:pPr>
              <w:pStyle w:val="TableParagraph"/>
              <w:spacing w:line="268" w:lineRule="exact"/>
              <w:jc w:val="both"/>
            </w:pPr>
            <w:r>
              <w:rPr>
                <w:spacing w:val="-5"/>
              </w:rPr>
              <w:t>30</w:t>
            </w:r>
          </w:p>
        </w:tc>
        <w:tc>
          <w:tcPr>
            <w:tcW w:w="1733" w:type="dxa"/>
          </w:tcPr>
          <w:p w14:paraId="57BB57EC" w14:textId="77777777" w:rsidR="003E12B2" w:rsidRDefault="003E12B2" w:rsidP="00E32347">
            <w:pPr>
              <w:pStyle w:val="TableParagraph"/>
              <w:spacing w:line="268" w:lineRule="exact"/>
              <w:jc w:val="both"/>
            </w:pPr>
            <w:r>
              <w:rPr>
                <w:spacing w:val="-5"/>
              </w:rPr>
              <w:t>10</w:t>
            </w:r>
          </w:p>
        </w:tc>
      </w:tr>
    </w:tbl>
    <w:p w14:paraId="5DEB43A0" w14:textId="77777777" w:rsidR="00A34EDD" w:rsidRDefault="00A34EDD">
      <w:pPr>
        <w:widowControl w:val="0"/>
        <w:pBdr>
          <w:top w:val="nil"/>
          <w:left w:val="nil"/>
          <w:bottom w:val="nil"/>
          <w:right w:val="nil"/>
          <w:between w:val="nil"/>
        </w:pBdr>
        <w:rPr>
          <w:color w:val="000000"/>
        </w:rPr>
      </w:pPr>
    </w:p>
    <w:p w14:paraId="258E32D5" w14:textId="77777777" w:rsidR="00A34EDD" w:rsidRDefault="00A34EDD">
      <w:pPr>
        <w:widowControl w:val="0"/>
        <w:pBdr>
          <w:top w:val="nil"/>
          <w:left w:val="nil"/>
          <w:bottom w:val="nil"/>
          <w:right w:val="nil"/>
          <w:between w:val="nil"/>
        </w:pBdr>
        <w:rPr>
          <w:color w:val="000000"/>
        </w:rPr>
      </w:pPr>
    </w:p>
    <w:p w14:paraId="5B40E9D2" w14:textId="77777777" w:rsidR="00A34EDD" w:rsidRDefault="00C75AA3">
      <w:pPr>
        <w:widowControl w:val="0"/>
        <w:pBdr>
          <w:top w:val="nil"/>
          <w:left w:val="nil"/>
          <w:bottom w:val="nil"/>
          <w:right w:val="nil"/>
          <w:between w:val="nil"/>
        </w:pBdr>
        <w:spacing w:line="279" w:lineRule="auto"/>
        <w:ind w:left="6" w:right="23" w:firstLine="8"/>
        <w:jc w:val="both"/>
        <w:rPr>
          <w:color w:val="000000"/>
        </w:rPr>
      </w:pPr>
      <w:r>
        <w:rPr>
          <w:color w:val="000000"/>
        </w:rPr>
        <w:t>Per studenti laureati presso altri Atenei, il calcolo di questi punteggi potrà ricadere sulla Commissione che esamina la domanda. I dati necessari, in questo caso, devono essere disponibili come allegati alle domande. Per le domande di matricole al primo b</w:t>
      </w:r>
      <w:r>
        <w:rPr>
          <w:color w:val="000000"/>
        </w:rPr>
        <w:t xml:space="preserve">ando, verrà attribuito un punteggio fissato a priori, pari a 4.  </w:t>
      </w:r>
    </w:p>
    <w:p w14:paraId="64571253" w14:textId="77777777" w:rsidR="00A34EDD" w:rsidRDefault="00C75AA3">
      <w:pPr>
        <w:widowControl w:val="0"/>
        <w:pBdr>
          <w:top w:val="nil"/>
          <w:left w:val="nil"/>
          <w:bottom w:val="nil"/>
          <w:right w:val="nil"/>
          <w:between w:val="nil"/>
        </w:pBdr>
        <w:spacing w:before="323" w:line="240" w:lineRule="auto"/>
        <w:ind w:left="5"/>
        <w:rPr>
          <w:color w:val="000000"/>
        </w:rPr>
      </w:pPr>
      <w:r>
        <w:rPr>
          <w:color w:val="000000"/>
          <w:u w:val="single"/>
        </w:rPr>
        <w:lastRenderedPageBreak/>
        <w:t>Conoscenza della Lingua Veicolare (lingua in cui sono erogati gli insegnamenti).</w:t>
      </w:r>
      <w:r>
        <w:rPr>
          <w:color w:val="000000"/>
        </w:rPr>
        <w:t xml:space="preserve">  </w:t>
      </w:r>
    </w:p>
    <w:p w14:paraId="7B66EFB6" w14:textId="77777777" w:rsidR="00A34EDD" w:rsidRDefault="00C75AA3">
      <w:pPr>
        <w:widowControl w:val="0"/>
        <w:pBdr>
          <w:top w:val="nil"/>
          <w:left w:val="nil"/>
          <w:bottom w:val="nil"/>
          <w:right w:val="nil"/>
          <w:between w:val="nil"/>
        </w:pBdr>
        <w:spacing w:before="519" w:line="240" w:lineRule="auto"/>
        <w:ind w:left="124"/>
        <w:rPr>
          <w:color w:val="000000"/>
        </w:rPr>
      </w:pPr>
      <w:r>
        <w:rPr>
          <w:color w:val="000000"/>
        </w:rPr>
        <w:t xml:space="preserve">Punteggio Attribuito:  </w:t>
      </w:r>
    </w:p>
    <w:p w14:paraId="49BEDB3F" w14:textId="77777777" w:rsidR="009962D0" w:rsidRDefault="009962D0">
      <w:pPr>
        <w:widowControl w:val="0"/>
        <w:pBdr>
          <w:top w:val="nil"/>
          <w:left w:val="nil"/>
          <w:bottom w:val="nil"/>
          <w:right w:val="nil"/>
          <w:between w:val="nil"/>
        </w:pBdr>
        <w:spacing w:before="519" w:line="240" w:lineRule="auto"/>
        <w:ind w:left="124"/>
        <w:rPr>
          <w:color w:val="000000"/>
        </w:rPr>
      </w:pPr>
    </w:p>
    <w:tbl>
      <w:tblPr>
        <w:tblStyle w:val="TableNormal0"/>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6"/>
        <w:gridCol w:w="850"/>
      </w:tblGrid>
      <w:tr w:rsidR="009962D0" w14:paraId="387C7F91" w14:textId="77777777" w:rsidTr="00E32347">
        <w:trPr>
          <w:trHeight w:val="429"/>
        </w:trPr>
        <w:tc>
          <w:tcPr>
            <w:tcW w:w="5746" w:type="dxa"/>
          </w:tcPr>
          <w:p w14:paraId="13CFB235" w14:textId="77777777" w:rsidR="009962D0" w:rsidRDefault="009962D0" w:rsidP="00E32347">
            <w:pPr>
              <w:pStyle w:val="TableParagraph"/>
              <w:spacing w:line="265" w:lineRule="exact"/>
              <w:jc w:val="both"/>
            </w:pPr>
            <w:r>
              <w:t>Lo</w:t>
            </w:r>
            <w:r>
              <w:rPr>
                <w:rFonts w:ascii="Times New Roman"/>
                <w:spacing w:val="-11"/>
              </w:rPr>
              <w:t xml:space="preserve"> </w:t>
            </w:r>
            <w:proofErr w:type="spellStart"/>
            <w:r>
              <w:t>studente</w:t>
            </w:r>
            <w:proofErr w:type="spellEnd"/>
            <w:r>
              <w:rPr>
                <w:rFonts w:ascii="Times New Roman"/>
                <w:spacing w:val="-9"/>
              </w:rPr>
              <w:t xml:space="preserve"> </w:t>
            </w:r>
            <w:proofErr w:type="spellStart"/>
            <w:r>
              <w:t>soddisfa</w:t>
            </w:r>
            <w:proofErr w:type="spellEnd"/>
            <w:r>
              <w:rPr>
                <w:rFonts w:ascii="Times New Roman"/>
                <w:spacing w:val="-11"/>
              </w:rPr>
              <w:t xml:space="preserve"> </w:t>
            </w:r>
            <w:r>
              <w:t>la</w:t>
            </w:r>
            <w:r>
              <w:rPr>
                <w:rFonts w:ascii="Times New Roman"/>
                <w:spacing w:val="-7"/>
              </w:rPr>
              <w:t xml:space="preserve"> </w:t>
            </w:r>
            <w:proofErr w:type="spellStart"/>
            <w:r>
              <w:t>richiesta</w:t>
            </w:r>
            <w:proofErr w:type="spellEnd"/>
            <w:r>
              <w:rPr>
                <w:rFonts w:ascii="Times New Roman"/>
                <w:spacing w:val="-8"/>
              </w:rPr>
              <w:t xml:space="preserve"> </w:t>
            </w:r>
            <w:r>
              <w:t>del</w:t>
            </w:r>
            <w:r>
              <w:rPr>
                <w:rFonts w:ascii="Times New Roman"/>
                <w:spacing w:val="-10"/>
              </w:rPr>
              <w:t xml:space="preserve"> </w:t>
            </w:r>
            <w:proofErr w:type="spellStart"/>
            <w:r>
              <w:rPr>
                <w:spacing w:val="-2"/>
              </w:rPr>
              <w:t>flusso</w:t>
            </w:r>
            <w:proofErr w:type="spellEnd"/>
          </w:p>
        </w:tc>
        <w:tc>
          <w:tcPr>
            <w:tcW w:w="850" w:type="dxa"/>
          </w:tcPr>
          <w:p w14:paraId="21F46968" w14:textId="77777777" w:rsidR="009962D0" w:rsidRDefault="009962D0" w:rsidP="00E32347">
            <w:pPr>
              <w:pStyle w:val="TableParagraph"/>
              <w:spacing w:line="265" w:lineRule="exact"/>
              <w:ind w:left="8"/>
              <w:jc w:val="both"/>
            </w:pPr>
            <w:r>
              <w:t>5</w:t>
            </w:r>
            <w:r>
              <w:rPr>
                <w:rFonts w:ascii="Times New Roman"/>
                <w:spacing w:val="-4"/>
              </w:rPr>
              <w:t xml:space="preserve"> </w:t>
            </w:r>
            <w:proofErr w:type="spellStart"/>
            <w:r>
              <w:rPr>
                <w:spacing w:val="-2"/>
              </w:rPr>
              <w:t>punti</w:t>
            </w:r>
            <w:proofErr w:type="spellEnd"/>
          </w:p>
        </w:tc>
      </w:tr>
      <w:tr w:rsidR="009962D0" w14:paraId="190151BB" w14:textId="77777777" w:rsidTr="00E32347">
        <w:trPr>
          <w:trHeight w:val="429"/>
        </w:trPr>
        <w:tc>
          <w:tcPr>
            <w:tcW w:w="5746" w:type="dxa"/>
          </w:tcPr>
          <w:p w14:paraId="1B36ADC7" w14:textId="77777777" w:rsidR="009962D0" w:rsidRDefault="009962D0" w:rsidP="00E32347">
            <w:pPr>
              <w:pStyle w:val="TableParagraph"/>
              <w:spacing w:line="265" w:lineRule="exact"/>
              <w:jc w:val="both"/>
            </w:pPr>
            <w:r>
              <w:t>Lo</w:t>
            </w:r>
            <w:r>
              <w:rPr>
                <w:rFonts w:ascii="Times New Roman"/>
                <w:spacing w:val="-9"/>
              </w:rPr>
              <w:t xml:space="preserve"> </w:t>
            </w:r>
            <w:proofErr w:type="spellStart"/>
            <w:r>
              <w:t>studente</w:t>
            </w:r>
            <w:proofErr w:type="spellEnd"/>
            <w:r>
              <w:rPr>
                <w:rFonts w:ascii="Times New Roman"/>
                <w:spacing w:val="-9"/>
              </w:rPr>
              <w:t xml:space="preserve"> </w:t>
            </w:r>
            <w:r>
              <w:t>non</w:t>
            </w:r>
            <w:r>
              <w:rPr>
                <w:rFonts w:ascii="Times New Roman"/>
                <w:spacing w:val="-8"/>
              </w:rPr>
              <w:t xml:space="preserve"> </w:t>
            </w:r>
            <w:proofErr w:type="spellStart"/>
            <w:r>
              <w:t>soddisfa</w:t>
            </w:r>
            <w:proofErr w:type="spellEnd"/>
            <w:r>
              <w:rPr>
                <w:rFonts w:ascii="Times New Roman"/>
                <w:spacing w:val="-7"/>
              </w:rPr>
              <w:t xml:space="preserve"> </w:t>
            </w:r>
            <w:r>
              <w:t>la</w:t>
            </w:r>
            <w:r>
              <w:rPr>
                <w:rFonts w:ascii="Times New Roman"/>
                <w:spacing w:val="-10"/>
              </w:rPr>
              <w:t xml:space="preserve"> </w:t>
            </w:r>
            <w:proofErr w:type="spellStart"/>
            <w:r>
              <w:t>richiesta</w:t>
            </w:r>
            <w:proofErr w:type="spellEnd"/>
            <w:r>
              <w:rPr>
                <w:rFonts w:ascii="Times New Roman"/>
                <w:spacing w:val="-11"/>
              </w:rPr>
              <w:t xml:space="preserve"> </w:t>
            </w:r>
            <w:r>
              <w:t>ma</w:t>
            </w:r>
            <w:r>
              <w:rPr>
                <w:rFonts w:ascii="Times New Roman"/>
                <w:spacing w:val="-10"/>
              </w:rPr>
              <w:t xml:space="preserve"> </w:t>
            </w:r>
            <w:r>
              <w:t>ha</w:t>
            </w:r>
            <w:r>
              <w:rPr>
                <w:rFonts w:ascii="Times New Roman"/>
                <w:spacing w:val="-7"/>
              </w:rPr>
              <w:t xml:space="preserve"> </w:t>
            </w:r>
            <w:proofErr w:type="spellStart"/>
            <w:r>
              <w:t>almeno</w:t>
            </w:r>
            <w:proofErr w:type="spellEnd"/>
            <w:r>
              <w:rPr>
                <w:rFonts w:ascii="Times New Roman"/>
                <w:spacing w:val="-6"/>
              </w:rPr>
              <w:t xml:space="preserve"> </w:t>
            </w:r>
            <w:r>
              <w:t>un</w:t>
            </w:r>
            <w:r>
              <w:rPr>
                <w:rFonts w:ascii="Times New Roman"/>
                <w:spacing w:val="-8"/>
              </w:rPr>
              <w:t xml:space="preserve"> </w:t>
            </w:r>
            <w:r>
              <w:rPr>
                <w:spacing w:val="-5"/>
              </w:rPr>
              <w:t>B2</w:t>
            </w:r>
          </w:p>
        </w:tc>
        <w:tc>
          <w:tcPr>
            <w:tcW w:w="850" w:type="dxa"/>
          </w:tcPr>
          <w:p w14:paraId="1BB56571" w14:textId="77777777" w:rsidR="009962D0" w:rsidRDefault="009962D0" w:rsidP="00E32347">
            <w:pPr>
              <w:pStyle w:val="TableParagraph"/>
              <w:spacing w:line="265" w:lineRule="exact"/>
              <w:ind w:left="8"/>
              <w:jc w:val="both"/>
            </w:pPr>
            <w:r>
              <w:t>3</w:t>
            </w:r>
            <w:r>
              <w:rPr>
                <w:rFonts w:ascii="Times New Roman"/>
                <w:spacing w:val="-4"/>
              </w:rPr>
              <w:t xml:space="preserve"> </w:t>
            </w:r>
            <w:proofErr w:type="spellStart"/>
            <w:r>
              <w:rPr>
                <w:spacing w:val="-2"/>
              </w:rPr>
              <w:t>punti</w:t>
            </w:r>
            <w:proofErr w:type="spellEnd"/>
          </w:p>
        </w:tc>
      </w:tr>
      <w:tr w:rsidR="009962D0" w14:paraId="5050A00E" w14:textId="77777777" w:rsidTr="00E32347">
        <w:trPr>
          <w:trHeight w:val="429"/>
        </w:trPr>
        <w:tc>
          <w:tcPr>
            <w:tcW w:w="5746" w:type="dxa"/>
          </w:tcPr>
          <w:p w14:paraId="62A936D1" w14:textId="77777777" w:rsidR="009962D0" w:rsidRPr="007C5577" w:rsidRDefault="009962D0" w:rsidP="00E32347">
            <w:pPr>
              <w:widowControl/>
              <w:adjustRightInd w:val="0"/>
              <w:rPr>
                <w:rFonts w:cstheme="minorHAnsi"/>
              </w:rPr>
            </w:pPr>
            <w:r>
              <w:t>Lo</w:t>
            </w:r>
            <w:r>
              <w:rPr>
                <w:rFonts w:ascii="Times New Roman" w:hAnsi="Times New Roman"/>
                <w:spacing w:val="-9"/>
              </w:rPr>
              <w:t xml:space="preserve"> </w:t>
            </w:r>
            <w:proofErr w:type="spellStart"/>
            <w:r>
              <w:t>studente</w:t>
            </w:r>
            <w:proofErr w:type="spellEnd"/>
            <w:r>
              <w:rPr>
                <w:rFonts w:ascii="Times New Roman" w:hAnsi="Times New Roman"/>
                <w:spacing w:val="-9"/>
              </w:rPr>
              <w:t xml:space="preserve"> </w:t>
            </w:r>
            <w:r>
              <w:t>non</w:t>
            </w:r>
            <w:r>
              <w:rPr>
                <w:rFonts w:ascii="Times New Roman" w:hAnsi="Times New Roman"/>
                <w:spacing w:val="-9"/>
              </w:rPr>
              <w:t xml:space="preserve"> </w:t>
            </w:r>
            <w:proofErr w:type="spellStart"/>
            <w:r>
              <w:t>soddisfa</w:t>
            </w:r>
            <w:proofErr w:type="spellEnd"/>
            <w:r>
              <w:rPr>
                <w:rFonts w:ascii="Times New Roman" w:hAnsi="Times New Roman"/>
                <w:spacing w:val="-8"/>
              </w:rPr>
              <w:t xml:space="preserve"> </w:t>
            </w:r>
            <w:r>
              <w:t>la</w:t>
            </w:r>
            <w:r>
              <w:rPr>
                <w:rFonts w:ascii="Times New Roman" w:hAnsi="Times New Roman"/>
                <w:spacing w:val="-10"/>
              </w:rPr>
              <w:t xml:space="preserve"> </w:t>
            </w:r>
            <w:proofErr w:type="spellStart"/>
            <w:r>
              <w:t>richiesta</w:t>
            </w:r>
            <w:proofErr w:type="spellEnd"/>
            <w:r>
              <w:t>,</w:t>
            </w:r>
            <w:r>
              <w:rPr>
                <w:rFonts w:ascii="Times New Roman" w:hAnsi="Times New Roman"/>
                <w:spacing w:val="-10"/>
              </w:rPr>
              <w:t xml:space="preserve"> </w:t>
            </w:r>
            <w:r w:rsidRPr="007C5577">
              <w:rPr>
                <w:rFonts w:cstheme="minorHAnsi"/>
              </w:rPr>
              <w:t>ma</w:t>
            </w:r>
            <w:r w:rsidRPr="007C5577">
              <w:rPr>
                <w:rFonts w:cstheme="minorHAnsi"/>
                <w:spacing w:val="-11"/>
              </w:rPr>
              <w:t xml:space="preserve"> </w:t>
            </w:r>
            <w:r w:rsidRPr="007C5577">
              <w:rPr>
                <w:rFonts w:cstheme="minorHAnsi"/>
                <w:spacing w:val="-6"/>
              </w:rPr>
              <w:t xml:space="preserve"> </w:t>
            </w:r>
            <w:r w:rsidRPr="007C5577">
              <w:rPr>
                <w:rFonts w:cstheme="minorHAnsi"/>
                <w:color w:val="000000"/>
              </w:rPr>
              <w:t xml:space="preserve">ha </w:t>
            </w:r>
            <w:proofErr w:type="spellStart"/>
            <w:r w:rsidRPr="007C5577">
              <w:rPr>
                <w:rFonts w:cstheme="minorHAnsi"/>
                <w:color w:val="000000"/>
              </w:rPr>
              <w:t>seguito</w:t>
            </w:r>
            <w:proofErr w:type="spellEnd"/>
            <w:r w:rsidRPr="007C5577">
              <w:rPr>
                <w:rFonts w:cstheme="minorHAnsi"/>
                <w:color w:val="000000"/>
              </w:rPr>
              <w:t xml:space="preserve"> un </w:t>
            </w:r>
            <w:proofErr w:type="spellStart"/>
            <w:r w:rsidRPr="007C5577">
              <w:rPr>
                <w:rFonts w:cstheme="minorHAnsi"/>
                <w:color w:val="000000"/>
              </w:rPr>
              <w:t>corso</w:t>
            </w:r>
            <w:proofErr w:type="spellEnd"/>
            <w:r w:rsidRPr="007C5577">
              <w:rPr>
                <w:rFonts w:cstheme="minorHAnsi"/>
                <w:color w:val="000000"/>
              </w:rPr>
              <w:t xml:space="preserve"> di lingua </w:t>
            </w:r>
            <w:proofErr w:type="spellStart"/>
            <w:r w:rsidRPr="007C5577">
              <w:rPr>
                <w:rFonts w:cstheme="minorHAnsi"/>
                <w:color w:val="000000"/>
              </w:rPr>
              <w:t>veicolare</w:t>
            </w:r>
            <w:proofErr w:type="spellEnd"/>
            <w:r w:rsidRPr="007C5577">
              <w:rPr>
                <w:rFonts w:cstheme="minorHAnsi"/>
                <w:color w:val="000000"/>
              </w:rPr>
              <w:t xml:space="preserve"> </w:t>
            </w:r>
            <w:proofErr w:type="spellStart"/>
            <w:r w:rsidRPr="007C5577">
              <w:rPr>
                <w:rFonts w:cstheme="minorHAnsi"/>
                <w:color w:val="000000"/>
              </w:rPr>
              <w:t>offerto</w:t>
            </w:r>
            <w:proofErr w:type="spellEnd"/>
            <w:r w:rsidRPr="007C5577">
              <w:rPr>
                <w:rFonts w:cstheme="minorHAnsi"/>
                <w:color w:val="000000"/>
              </w:rPr>
              <w:t xml:space="preserve"> </w:t>
            </w:r>
            <w:proofErr w:type="spellStart"/>
            <w:r w:rsidRPr="007C5577">
              <w:rPr>
                <w:rFonts w:cstheme="minorHAnsi"/>
                <w:color w:val="000000"/>
              </w:rPr>
              <w:t>dall'Ateneo</w:t>
            </w:r>
            <w:proofErr w:type="spellEnd"/>
            <w:r w:rsidRPr="007C5577">
              <w:rPr>
                <w:rFonts w:cstheme="minorHAnsi"/>
                <w:color w:val="000000"/>
              </w:rPr>
              <w:t xml:space="preserve"> o dal Centro </w:t>
            </w:r>
            <w:proofErr w:type="spellStart"/>
            <w:r w:rsidRPr="007C5577">
              <w:rPr>
                <w:rFonts w:cstheme="minorHAnsi"/>
                <w:color w:val="000000"/>
              </w:rPr>
              <w:t>Linguistico</w:t>
            </w:r>
            <w:proofErr w:type="spellEnd"/>
            <w:r w:rsidRPr="007C5577">
              <w:rPr>
                <w:rFonts w:cstheme="minorHAnsi"/>
                <w:color w:val="000000"/>
              </w:rPr>
              <w:t xml:space="preserve"> </w:t>
            </w:r>
            <w:proofErr w:type="spellStart"/>
            <w:r w:rsidRPr="007C5577">
              <w:rPr>
                <w:rFonts w:cstheme="minorHAnsi"/>
                <w:color w:val="000000"/>
              </w:rPr>
              <w:t>dell'Ateneo</w:t>
            </w:r>
            <w:proofErr w:type="spellEnd"/>
            <w:r w:rsidRPr="007C5577">
              <w:rPr>
                <w:rFonts w:cstheme="minorHAnsi"/>
                <w:color w:val="000000"/>
              </w:rPr>
              <w:t xml:space="preserve"> (CLA) o da </w:t>
            </w:r>
            <w:proofErr w:type="spellStart"/>
            <w:r w:rsidRPr="007C5577">
              <w:rPr>
                <w:rFonts w:cstheme="minorHAnsi"/>
                <w:color w:val="000000"/>
              </w:rPr>
              <w:t>alti</w:t>
            </w:r>
            <w:proofErr w:type="spellEnd"/>
            <w:r w:rsidRPr="007C5577">
              <w:rPr>
                <w:rFonts w:cstheme="minorHAnsi"/>
                <w:color w:val="000000"/>
              </w:rPr>
              <w:t xml:space="preserve"> </w:t>
            </w:r>
            <w:proofErr w:type="spellStart"/>
            <w:r w:rsidRPr="007C5577">
              <w:rPr>
                <w:rFonts w:cstheme="minorHAnsi"/>
                <w:color w:val="000000"/>
              </w:rPr>
              <w:t>enti</w:t>
            </w:r>
            <w:proofErr w:type="spellEnd"/>
            <w:r w:rsidRPr="007C5577">
              <w:rPr>
                <w:rFonts w:cstheme="minorHAnsi"/>
                <w:color w:val="000000"/>
              </w:rPr>
              <w:t xml:space="preserve"> </w:t>
            </w:r>
            <w:proofErr w:type="spellStart"/>
            <w:r w:rsidRPr="007C5577">
              <w:rPr>
                <w:rFonts w:cstheme="minorHAnsi"/>
                <w:color w:val="000000"/>
              </w:rPr>
              <w:t>certificati</w:t>
            </w:r>
            <w:proofErr w:type="spellEnd"/>
          </w:p>
          <w:p w14:paraId="10A8DF7F" w14:textId="77777777" w:rsidR="009962D0" w:rsidRDefault="009962D0" w:rsidP="00E32347">
            <w:pPr>
              <w:pStyle w:val="TableParagraph"/>
              <w:spacing w:line="265" w:lineRule="exact"/>
              <w:jc w:val="both"/>
            </w:pPr>
            <w:r>
              <w:rPr>
                <w:spacing w:val="-5"/>
              </w:rPr>
              <w:t xml:space="preserve"> </w:t>
            </w:r>
          </w:p>
        </w:tc>
        <w:tc>
          <w:tcPr>
            <w:tcW w:w="850" w:type="dxa"/>
          </w:tcPr>
          <w:p w14:paraId="3992D05F" w14:textId="77777777" w:rsidR="009962D0" w:rsidRDefault="009962D0" w:rsidP="00E32347">
            <w:pPr>
              <w:pStyle w:val="TableParagraph"/>
              <w:spacing w:line="265" w:lineRule="exact"/>
              <w:ind w:left="8"/>
              <w:jc w:val="both"/>
            </w:pPr>
            <w:r>
              <w:t>1</w:t>
            </w:r>
            <w:r>
              <w:rPr>
                <w:rFonts w:ascii="Times New Roman"/>
                <w:spacing w:val="-4"/>
              </w:rPr>
              <w:t xml:space="preserve"> </w:t>
            </w:r>
            <w:proofErr w:type="spellStart"/>
            <w:r>
              <w:rPr>
                <w:spacing w:val="-2"/>
              </w:rPr>
              <w:t>punti</w:t>
            </w:r>
            <w:proofErr w:type="spellEnd"/>
          </w:p>
        </w:tc>
      </w:tr>
      <w:tr w:rsidR="009962D0" w14:paraId="28DA7A54" w14:textId="77777777" w:rsidTr="00E32347">
        <w:trPr>
          <w:trHeight w:val="429"/>
        </w:trPr>
        <w:tc>
          <w:tcPr>
            <w:tcW w:w="5746" w:type="dxa"/>
          </w:tcPr>
          <w:p w14:paraId="4019273B" w14:textId="77777777" w:rsidR="009962D0" w:rsidRDefault="009962D0" w:rsidP="00E32347">
            <w:pPr>
              <w:pStyle w:val="TableParagraph"/>
              <w:spacing w:line="265" w:lineRule="exact"/>
              <w:jc w:val="both"/>
            </w:pPr>
            <w:proofErr w:type="spellStart"/>
            <w:r>
              <w:t>Negli</w:t>
            </w:r>
            <w:proofErr w:type="spellEnd"/>
            <w:r>
              <w:rPr>
                <w:rFonts w:ascii="Times New Roman"/>
                <w:spacing w:val="-10"/>
              </w:rPr>
              <w:t xml:space="preserve"> </w:t>
            </w:r>
            <w:proofErr w:type="spellStart"/>
            <w:r>
              <w:t>altri</w:t>
            </w:r>
            <w:proofErr w:type="spellEnd"/>
            <w:r>
              <w:rPr>
                <w:rFonts w:ascii="Times New Roman"/>
                <w:spacing w:val="-8"/>
              </w:rPr>
              <w:t xml:space="preserve"> </w:t>
            </w:r>
            <w:proofErr w:type="spellStart"/>
            <w:r>
              <w:rPr>
                <w:spacing w:val="-4"/>
              </w:rPr>
              <w:t>casi</w:t>
            </w:r>
            <w:proofErr w:type="spellEnd"/>
          </w:p>
        </w:tc>
        <w:tc>
          <w:tcPr>
            <w:tcW w:w="850" w:type="dxa"/>
          </w:tcPr>
          <w:p w14:paraId="2002DCB9" w14:textId="77777777" w:rsidR="009962D0" w:rsidRDefault="009962D0" w:rsidP="00E32347">
            <w:pPr>
              <w:pStyle w:val="TableParagraph"/>
              <w:spacing w:line="265" w:lineRule="exact"/>
              <w:ind w:left="8"/>
              <w:jc w:val="both"/>
            </w:pPr>
            <w:r>
              <w:t>0</w:t>
            </w:r>
            <w:r>
              <w:rPr>
                <w:rFonts w:ascii="Times New Roman"/>
                <w:spacing w:val="-4"/>
              </w:rPr>
              <w:t xml:space="preserve"> </w:t>
            </w:r>
            <w:proofErr w:type="spellStart"/>
            <w:r>
              <w:rPr>
                <w:spacing w:val="-2"/>
              </w:rPr>
              <w:t>punti</w:t>
            </w:r>
            <w:proofErr w:type="spellEnd"/>
          </w:p>
        </w:tc>
      </w:tr>
    </w:tbl>
    <w:p w14:paraId="4CB94AAE" w14:textId="77777777" w:rsidR="00A34EDD" w:rsidRDefault="00A34EDD">
      <w:pPr>
        <w:widowControl w:val="0"/>
        <w:pBdr>
          <w:top w:val="nil"/>
          <w:left w:val="nil"/>
          <w:bottom w:val="nil"/>
          <w:right w:val="nil"/>
          <w:between w:val="nil"/>
        </w:pBdr>
        <w:rPr>
          <w:color w:val="000000"/>
        </w:rPr>
      </w:pPr>
    </w:p>
    <w:p w14:paraId="57C3188D" w14:textId="77777777" w:rsidR="00A34EDD" w:rsidRDefault="00A34EDD">
      <w:pPr>
        <w:widowControl w:val="0"/>
        <w:pBdr>
          <w:top w:val="nil"/>
          <w:left w:val="nil"/>
          <w:bottom w:val="nil"/>
          <w:right w:val="nil"/>
          <w:between w:val="nil"/>
        </w:pBdr>
        <w:rPr>
          <w:color w:val="000000"/>
        </w:rPr>
      </w:pPr>
    </w:p>
    <w:p w14:paraId="7291B502" w14:textId="77777777" w:rsidR="00A34EDD" w:rsidRDefault="00A34EDD">
      <w:pPr>
        <w:widowControl w:val="0"/>
        <w:pBdr>
          <w:top w:val="nil"/>
          <w:left w:val="nil"/>
          <w:bottom w:val="nil"/>
          <w:right w:val="nil"/>
          <w:between w:val="nil"/>
        </w:pBdr>
        <w:rPr>
          <w:color w:val="000000"/>
        </w:rPr>
      </w:pPr>
    </w:p>
    <w:p w14:paraId="5AD9FB1F" w14:textId="77777777" w:rsidR="00A34EDD" w:rsidRDefault="00C75AA3">
      <w:pPr>
        <w:widowControl w:val="0"/>
        <w:pBdr>
          <w:top w:val="nil"/>
          <w:left w:val="nil"/>
          <w:bottom w:val="nil"/>
          <w:right w:val="nil"/>
          <w:between w:val="nil"/>
        </w:pBdr>
        <w:spacing w:line="240" w:lineRule="auto"/>
        <w:ind w:left="5"/>
        <w:rPr>
          <w:color w:val="000000"/>
        </w:rPr>
      </w:pPr>
      <w:r>
        <w:rPr>
          <w:color w:val="000000"/>
          <w:u w:val="single"/>
        </w:rPr>
        <w:t xml:space="preserve">Conoscenza della Lingua del paese di destinazione. </w:t>
      </w:r>
      <w:r>
        <w:rPr>
          <w:color w:val="000000"/>
        </w:rPr>
        <w:t xml:space="preserve"> </w:t>
      </w:r>
    </w:p>
    <w:p w14:paraId="7783B597" w14:textId="77777777" w:rsidR="00A34EDD" w:rsidRDefault="00C75AA3">
      <w:pPr>
        <w:widowControl w:val="0"/>
        <w:pBdr>
          <w:top w:val="nil"/>
          <w:left w:val="nil"/>
          <w:bottom w:val="nil"/>
          <w:right w:val="nil"/>
          <w:between w:val="nil"/>
        </w:pBdr>
        <w:spacing w:before="431" w:line="240" w:lineRule="auto"/>
        <w:ind w:left="124"/>
        <w:rPr>
          <w:color w:val="000000"/>
        </w:rPr>
      </w:pPr>
      <w:r>
        <w:rPr>
          <w:color w:val="000000"/>
        </w:rPr>
        <w:t xml:space="preserve">Punteggio Attribuito:  </w:t>
      </w:r>
    </w:p>
    <w:p w14:paraId="0531419E" w14:textId="77777777" w:rsidR="009962D0" w:rsidRDefault="009962D0" w:rsidP="009962D0">
      <w:pPr>
        <w:pStyle w:val="Corpotes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15"/>
        </w:tabs>
        <w:spacing w:before="163" w:line="453" w:lineRule="auto"/>
        <w:ind w:left="112" w:right="5572"/>
        <w:jc w:val="both"/>
      </w:pPr>
      <w:r>
        <w:t>Certificazione</w:t>
      </w:r>
      <w:r>
        <w:rPr>
          <w:rFonts w:ascii="Times New Roman"/>
        </w:rPr>
        <w:t xml:space="preserve"> </w:t>
      </w:r>
      <w:r>
        <w:t>di</w:t>
      </w:r>
      <w:r>
        <w:rPr>
          <w:rFonts w:ascii="Times New Roman"/>
        </w:rPr>
        <w:t xml:space="preserve"> </w:t>
      </w:r>
      <w:r>
        <w:t>conoscenza</w:t>
      </w:r>
      <w:r>
        <w:rPr>
          <w:rFonts w:ascii="Times New Roman"/>
        </w:rPr>
        <w:t xml:space="preserve"> </w:t>
      </w:r>
      <w:r>
        <w:t>B2</w:t>
      </w:r>
      <w:r>
        <w:rPr>
          <w:rFonts w:ascii="Times New Roman"/>
        </w:rPr>
        <w:tab/>
      </w:r>
      <w:r>
        <w:t>2</w:t>
      </w:r>
      <w:r>
        <w:rPr>
          <w:rFonts w:ascii="Times New Roman"/>
          <w:spacing w:val="-5"/>
        </w:rPr>
        <w:t xml:space="preserve"> </w:t>
      </w:r>
      <w:r>
        <w:t>punti</w:t>
      </w:r>
    </w:p>
    <w:p w14:paraId="4D038F69" w14:textId="712392F5" w:rsidR="009962D0" w:rsidRDefault="009962D0" w:rsidP="009962D0">
      <w:pPr>
        <w:pStyle w:val="Corpotes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15"/>
        </w:tabs>
        <w:spacing w:before="163" w:line="453" w:lineRule="auto"/>
        <w:ind w:left="112" w:right="5572"/>
        <w:jc w:val="both"/>
        <w:rPr>
          <w:spacing w:val="-2"/>
        </w:rPr>
      </w:pPr>
      <w:r>
        <w:rPr>
          <w:rFonts w:ascii="Times New Roman"/>
        </w:rPr>
        <w:t xml:space="preserve"> </w:t>
      </w:r>
      <w:r>
        <w:t>Certificazione</w:t>
      </w:r>
      <w:r>
        <w:rPr>
          <w:rFonts w:ascii="Times New Roman"/>
        </w:rPr>
        <w:t xml:space="preserve"> </w:t>
      </w:r>
      <w:r>
        <w:t>di</w:t>
      </w:r>
      <w:r>
        <w:rPr>
          <w:rFonts w:ascii="Times New Roman"/>
        </w:rPr>
        <w:t xml:space="preserve"> </w:t>
      </w:r>
      <w:r>
        <w:t>conoscenza</w:t>
      </w:r>
      <w:r>
        <w:rPr>
          <w:rFonts w:ascii="Times New Roman"/>
        </w:rPr>
        <w:t xml:space="preserve"> </w:t>
      </w:r>
      <w:r>
        <w:t xml:space="preserve">B1            </w:t>
      </w:r>
      <w:r>
        <w:rPr>
          <w:rFonts w:ascii="Times New Roman"/>
        </w:rPr>
        <w:t xml:space="preserve"> </w:t>
      </w:r>
      <w:r>
        <w:rPr>
          <w:spacing w:val="-2"/>
        </w:rPr>
        <w:t>1</w:t>
      </w:r>
      <w:r>
        <w:rPr>
          <w:rFonts w:ascii="Times New Roman"/>
          <w:spacing w:val="-12"/>
        </w:rPr>
        <w:t xml:space="preserve"> </w:t>
      </w:r>
      <w:r>
        <w:rPr>
          <w:spacing w:val="-2"/>
        </w:rPr>
        <w:t>punti</w:t>
      </w:r>
    </w:p>
    <w:p w14:paraId="7783E6AF" w14:textId="0101AB41" w:rsidR="009962D0" w:rsidRDefault="009962D0" w:rsidP="009962D0">
      <w:pPr>
        <w:pStyle w:val="Corpotesto"/>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15"/>
        </w:tabs>
        <w:spacing w:before="163" w:line="453" w:lineRule="auto"/>
        <w:ind w:left="112" w:right="5572"/>
        <w:jc w:val="both"/>
      </w:pPr>
      <w:r>
        <w:rPr>
          <w:rFonts w:ascii="Times New Roman"/>
          <w:spacing w:val="-2"/>
        </w:rPr>
        <w:t xml:space="preserve"> </w:t>
      </w:r>
      <w:r>
        <w:t>Nessuna</w:t>
      </w:r>
      <w:r>
        <w:rPr>
          <w:rFonts w:ascii="Times New Roman"/>
          <w:spacing w:val="-8"/>
        </w:rPr>
        <w:t xml:space="preserve"> </w:t>
      </w:r>
      <w:r>
        <w:t>certificazione</w:t>
      </w:r>
      <w:r>
        <w:rPr>
          <w:rFonts w:ascii="Times New Roman"/>
          <w:spacing w:val="-9"/>
        </w:rPr>
        <w:t xml:space="preserve"> </w:t>
      </w:r>
      <w:r>
        <w:t>di</w:t>
      </w:r>
      <w:r>
        <w:rPr>
          <w:rFonts w:ascii="Times New Roman"/>
          <w:spacing w:val="-7"/>
        </w:rPr>
        <w:t xml:space="preserve"> </w:t>
      </w:r>
      <w:proofErr w:type="gramStart"/>
      <w:r>
        <w:t xml:space="preserve">conoscenza </w:t>
      </w:r>
      <w:r>
        <w:rPr>
          <w:rFonts w:ascii="Times New Roman"/>
          <w:spacing w:val="53"/>
        </w:rPr>
        <w:t xml:space="preserve"> </w:t>
      </w:r>
      <w:r>
        <w:t>0</w:t>
      </w:r>
      <w:proofErr w:type="gramEnd"/>
      <w:r>
        <w:rPr>
          <w:rFonts w:ascii="Times New Roman"/>
          <w:spacing w:val="-6"/>
        </w:rPr>
        <w:t xml:space="preserve"> </w:t>
      </w:r>
      <w:r>
        <w:rPr>
          <w:spacing w:val="-2"/>
        </w:rPr>
        <w:t>punti</w:t>
      </w:r>
    </w:p>
    <w:p w14:paraId="2202E6F8" w14:textId="77777777" w:rsidR="00A34EDD" w:rsidRDefault="00A34EDD">
      <w:pPr>
        <w:widowControl w:val="0"/>
        <w:pBdr>
          <w:top w:val="nil"/>
          <w:left w:val="nil"/>
          <w:bottom w:val="nil"/>
          <w:right w:val="nil"/>
          <w:between w:val="nil"/>
        </w:pBdr>
        <w:rPr>
          <w:color w:val="000000"/>
        </w:rPr>
      </w:pPr>
    </w:p>
    <w:p w14:paraId="64638DBC" w14:textId="77777777" w:rsidR="00A34EDD" w:rsidRDefault="00A34EDD">
      <w:pPr>
        <w:widowControl w:val="0"/>
        <w:pBdr>
          <w:top w:val="nil"/>
          <w:left w:val="nil"/>
          <w:bottom w:val="nil"/>
          <w:right w:val="nil"/>
          <w:between w:val="nil"/>
        </w:pBdr>
        <w:rPr>
          <w:color w:val="000000"/>
        </w:rPr>
      </w:pPr>
    </w:p>
    <w:p w14:paraId="5A4156BD" w14:textId="77777777" w:rsidR="00A34EDD" w:rsidRDefault="00C75AA3">
      <w:pPr>
        <w:widowControl w:val="0"/>
        <w:pBdr>
          <w:top w:val="nil"/>
          <w:left w:val="nil"/>
          <w:bottom w:val="nil"/>
          <w:right w:val="nil"/>
          <w:between w:val="nil"/>
        </w:pBdr>
        <w:spacing w:line="240" w:lineRule="auto"/>
        <w:ind w:left="124"/>
        <w:rPr>
          <w:color w:val="000000"/>
        </w:rPr>
      </w:pPr>
      <w:r>
        <w:rPr>
          <w:color w:val="000000"/>
          <w:u w:val="single"/>
        </w:rPr>
        <w:t xml:space="preserve">Esame complessivo del dossier ed </w:t>
      </w:r>
      <w:r>
        <w:rPr>
          <w:color w:val="000000"/>
          <w:u w:val="single"/>
        </w:rPr>
        <w:t>eventuale colloquio</w:t>
      </w:r>
      <w:r>
        <w:rPr>
          <w:color w:val="000000"/>
        </w:rPr>
        <w:t xml:space="preserve">  </w:t>
      </w:r>
    </w:p>
    <w:p w14:paraId="17A96AA7" w14:textId="77777777" w:rsidR="00A34EDD" w:rsidRDefault="00C75AA3">
      <w:pPr>
        <w:widowControl w:val="0"/>
        <w:pBdr>
          <w:top w:val="nil"/>
          <w:left w:val="nil"/>
          <w:bottom w:val="nil"/>
          <w:right w:val="nil"/>
          <w:between w:val="nil"/>
        </w:pBdr>
        <w:spacing w:before="248" w:line="280" w:lineRule="auto"/>
        <w:ind w:left="119" w:right="201" w:firstLine="8"/>
        <w:rPr>
          <w:color w:val="000000"/>
        </w:rPr>
      </w:pPr>
      <w:r>
        <w:rPr>
          <w:color w:val="000000"/>
        </w:rPr>
        <w:t>La Commissione valuterà la coerenza della proposta delle attività didattiche da svolgere all’ estero (</w:t>
      </w:r>
      <w:proofErr w:type="gramStart"/>
      <w:r>
        <w:rPr>
          <w:color w:val="000000"/>
        </w:rPr>
        <w:t>bozza  del</w:t>
      </w:r>
      <w:proofErr w:type="gramEnd"/>
      <w:r>
        <w:rPr>
          <w:color w:val="000000"/>
        </w:rPr>
        <w:t xml:space="preserve"> Learning Agreement) presentata dallo studente, e la carriera complessiva di ogni candidato.  </w:t>
      </w:r>
    </w:p>
    <w:p w14:paraId="596D41E9" w14:textId="77777777" w:rsidR="00A34EDD" w:rsidRDefault="00C75AA3">
      <w:pPr>
        <w:widowControl w:val="0"/>
        <w:pBdr>
          <w:top w:val="nil"/>
          <w:left w:val="nil"/>
          <w:bottom w:val="nil"/>
          <w:right w:val="nil"/>
          <w:between w:val="nil"/>
        </w:pBdr>
        <w:spacing w:before="214" w:line="240" w:lineRule="auto"/>
        <w:ind w:left="124"/>
        <w:rPr>
          <w:color w:val="000000"/>
        </w:rPr>
      </w:pPr>
      <w:r>
        <w:rPr>
          <w:color w:val="000000"/>
        </w:rPr>
        <w:t xml:space="preserve">Punteggio Attribuito: 10 punti massimo.  </w:t>
      </w:r>
    </w:p>
    <w:p w14:paraId="4F867F28" w14:textId="77777777" w:rsidR="00A34EDD" w:rsidRDefault="00C75AA3">
      <w:pPr>
        <w:widowControl w:val="0"/>
        <w:pBdr>
          <w:top w:val="nil"/>
          <w:left w:val="nil"/>
          <w:bottom w:val="nil"/>
          <w:right w:val="nil"/>
          <w:between w:val="nil"/>
        </w:pBdr>
        <w:spacing w:before="171" w:line="275" w:lineRule="auto"/>
        <w:ind w:left="125" w:right="21" w:firstLine="1"/>
        <w:rPr>
          <w:color w:val="000000"/>
        </w:rPr>
      </w:pPr>
      <w:r>
        <w:rPr>
          <w:color w:val="000000"/>
        </w:rPr>
        <w:t xml:space="preserve">La Commissione potrà decidere di dichiarare non idoneo un candidato in caso di gravi carenze in qualche parametro di valutazione. </w:t>
      </w:r>
    </w:p>
    <w:sectPr w:rsidR="00A34EDD">
      <w:type w:val="continuous"/>
      <w:pgSz w:w="11900" w:h="16820"/>
      <w:pgMar w:top="1367" w:right="959" w:bottom="568" w:left="1023" w:header="0" w:footer="720" w:gutter="0"/>
      <w:cols w:space="720" w:equalWidth="0">
        <w:col w:w="991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DD"/>
    <w:rsid w:val="000026ED"/>
    <w:rsid w:val="00351707"/>
    <w:rsid w:val="003E12B2"/>
    <w:rsid w:val="009962D0"/>
    <w:rsid w:val="009F3DE8"/>
    <w:rsid w:val="00A34EDD"/>
    <w:rsid w:val="00A762D6"/>
    <w:rsid w:val="00AF10BE"/>
    <w:rsid w:val="00C75AA3"/>
    <w:rsid w:val="00F165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1365"/>
  <w15:docId w15:val="{78682678-C642-4CED-B040-68C00720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TableNormal0">
    <w:name w:val="Table Normal"/>
    <w:uiPriority w:val="2"/>
    <w:semiHidden/>
    <w:unhideWhenUsed/>
    <w:qFormat/>
    <w:rsid w:val="00A762D6"/>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762D6"/>
    <w:pPr>
      <w:widowControl w:val="0"/>
      <w:autoSpaceDE w:val="0"/>
      <w:autoSpaceDN w:val="0"/>
      <w:spacing w:line="240" w:lineRule="auto"/>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A762D6"/>
    <w:rPr>
      <w:rFonts w:ascii="Calibri" w:eastAsia="Calibri" w:hAnsi="Calibri" w:cs="Calibri"/>
      <w:lang w:eastAsia="en-US"/>
    </w:rPr>
  </w:style>
  <w:style w:type="paragraph" w:customStyle="1" w:styleId="TableParagraph">
    <w:name w:val="Table Paragraph"/>
    <w:basedOn w:val="Normale"/>
    <w:uiPriority w:val="1"/>
    <w:qFormat/>
    <w:rsid w:val="00A762D6"/>
    <w:pPr>
      <w:widowControl w:val="0"/>
      <w:autoSpaceDE w:val="0"/>
      <w:autoSpaceDN w:val="0"/>
      <w:spacing w:line="248" w:lineRule="exact"/>
      <w:ind w:left="107"/>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954</Words>
  <Characters>5444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Alessandra</cp:lastModifiedBy>
  <cp:revision>3</cp:revision>
  <dcterms:created xsi:type="dcterms:W3CDTF">2025-06-25T09:05:00Z</dcterms:created>
  <dcterms:modified xsi:type="dcterms:W3CDTF">2025-11-03T09:33:00Z</dcterms:modified>
</cp:coreProperties>
</file>